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93" w:rsidRDefault="00860210" w:rsidP="00146DB1">
      <w:pPr>
        <w:jc w:val="center"/>
        <w:rPr>
          <w:b/>
        </w:rPr>
      </w:pPr>
      <w:r>
        <w:rPr>
          <w:b/>
        </w:rPr>
        <w:t>WARUNKI UBIEGANIA</w:t>
      </w:r>
      <w:r w:rsidR="005F2FB7" w:rsidRPr="00EB3DC1">
        <w:rPr>
          <w:b/>
        </w:rPr>
        <w:t xml:space="preserve"> SIĘ O DOTACJĘ W RAMACH</w:t>
      </w:r>
      <w:r w:rsidR="00DB2B91">
        <w:rPr>
          <w:b/>
        </w:rPr>
        <w:t xml:space="preserve"> PROW 2014-2020 </w:t>
      </w:r>
    </w:p>
    <w:p w:rsidR="00146DB1" w:rsidRDefault="00146DB1" w:rsidP="00146DB1">
      <w:pPr>
        <w:jc w:val="center"/>
        <w:rPr>
          <w:b/>
        </w:rPr>
      </w:pPr>
      <w:r>
        <w:rPr>
          <w:b/>
        </w:rPr>
        <w:t xml:space="preserve">PODDZIAŁANIE 19.2 </w:t>
      </w:r>
      <w:r w:rsidR="004D33F4">
        <w:rPr>
          <w:b/>
        </w:rPr>
        <w:t>WSPARCIE NA WDRAŻANIE OPERACJI W RAMACH STRATEGII ROZWOJU LOKALNEGO KIEROWANEGO PRZEZ SPOŁECZNOŚĆ</w:t>
      </w:r>
    </w:p>
    <w:p w:rsidR="00EB3DC1" w:rsidRPr="00D42472" w:rsidRDefault="00EB3DC1" w:rsidP="00EB3DC1">
      <w:pPr>
        <w:jc w:val="center"/>
        <w:rPr>
          <w:b/>
          <w:color w:val="C00000"/>
        </w:rPr>
      </w:pPr>
    </w:p>
    <w:p w:rsidR="00EB3DC1" w:rsidRDefault="009F3878" w:rsidP="00B36D22">
      <w:pPr>
        <w:pStyle w:val="Akapitzlist"/>
        <w:jc w:val="center"/>
        <w:rPr>
          <w:b/>
          <w:color w:val="C00000"/>
        </w:rPr>
      </w:pPr>
      <w:r>
        <w:rPr>
          <w:b/>
          <w:color w:val="C00000"/>
        </w:rPr>
        <w:t>ROZWIJANIE</w:t>
      </w:r>
      <w:r w:rsidR="00EB3DC1" w:rsidRPr="00D42472">
        <w:rPr>
          <w:b/>
          <w:color w:val="C00000"/>
        </w:rPr>
        <w:t xml:space="preserve"> DZIAŁALNOŚCI GOSPODARCZEJ</w:t>
      </w:r>
    </w:p>
    <w:p w:rsidR="00B36D22" w:rsidRDefault="00B36D22" w:rsidP="00B36D22">
      <w:pPr>
        <w:pStyle w:val="Akapitzlist"/>
        <w:jc w:val="center"/>
        <w:rPr>
          <w:b/>
          <w:color w:val="C00000"/>
        </w:rPr>
      </w:pPr>
    </w:p>
    <w:p w:rsidR="00D42472" w:rsidRPr="00B36D22" w:rsidRDefault="00E259D6" w:rsidP="00B36D2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 </w:t>
      </w:r>
      <w:r w:rsidR="007D0BA7" w:rsidRPr="00B36D22">
        <w:rPr>
          <w:b/>
        </w:rPr>
        <w:t xml:space="preserve">dotację może ubiegać się </w:t>
      </w:r>
      <w:r w:rsidR="005C657E">
        <w:rPr>
          <w:b/>
        </w:rPr>
        <w:t>podmiot</w:t>
      </w:r>
      <w:r w:rsidR="00041694">
        <w:rPr>
          <w:b/>
        </w:rPr>
        <w:t xml:space="preserve"> spełniający wszystkie poniższe kryteria formalne</w:t>
      </w:r>
      <w:r w:rsidR="00D42472" w:rsidRPr="00B36D22">
        <w:rPr>
          <w:b/>
        </w:rPr>
        <w:t>:</w:t>
      </w:r>
    </w:p>
    <w:p w:rsidR="00041694" w:rsidRDefault="00041694" w:rsidP="009F3878">
      <w:pPr>
        <w:jc w:val="both"/>
      </w:pPr>
      <w:r>
        <w:t>- prowadzi mikroprzedsiębiorstwo lub małe przedsiębiorstwo</w:t>
      </w:r>
      <w:r w:rsidR="00336D39">
        <w:t xml:space="preserve"> (w rozumieniu przepisów rozporządzenia Komisji (UE) nr 651/2014 z dnia 17 czerwca 2014 r.)</w:t>
      </w:r>
      <w:r w:rsidR="00F8072A">
        <w:t>,</w:t>
      </w:r>
    </w:p>
    <w:p w:rsidR="00086E4E" w:rsidRDefault="007942DE" w:rsidP="009F3878">
      <w:pPr>
        <w:jc w:val="both"/>
      </w:pPr>
      <w:r>
        <w:t>- nie otrzymał dotychczas wsparcia w ramach podejmowania działalności gospodar</w:t>
      </w:r>
      <w:r w:rsidR="00E54683">
        <w:t>czej w ramach Programu Rozwoju Obszarów Wiejskich</w:t>
      </w:r>
      <w:r w:rsidR="00086E4E">
        <w:t xml:space="preserve"> </w:t>
      </w:r>
      <w:r w:rsidR="003065CB">
        <w:t xml:space="preserve">2014-2020 </w:t>
      </w:r>
      <w:r w:rsidR="00086E4E">
        <w:t>albo upłynęły</w:t>
      </w:r>
      <w:r>
        <w:t xml:space="preserve"> co najmniej</w:t>
      </w:r>
      <w:r w:rsidR="00086E4E">
        <w:t xml:space="preserve"> 2 lata od dnia przyznania temu podmiotowi po</w:t>
      </w:r>
      <w:r w:rsidR="00641960">
        <w:t>mocy na operację w tym zakresie,</w:t>
      </w:r>
    </w:p>
    <w:p w:rsidR="00773C41" w:rsidRDefault="00E97FA3" w:rsidP="009F3878">
      <w:pPr>
        <w:jc w:val="both"/>
      </w:pPr>
      <w:r>
        <w:t xml:space="preserve">- nie otrzymał dotychczas wsparcia w ramach tworzenia lub rozwoju inkubatorów przetwórstwa </w:t>
      </w:r>
      <w:r w:rsidR="00641960">
        <w:t>lokalnego produktów rolnych będących przedsiębiorstwami spożywczymi</w:t>
      </w:r>
      <w:r w:rsidR="00E54683">
        <w:t xml:space="preserve"> w ramach Programu Rozwoju Obszarów Wiejskich</w:t>
      </w:r>
      <w:r w:rsidR="0027302F">
        <w:t xml:space="preserve"> 2014-2020</w:t>
      </w:r>
      <w:r w:rsidR="00E54683">
        <w:t>,</w:t>
      </w:r>
    </w:p>
    <w:p w:rsidR="00E97FA3" w:rsidRDefault="00773C41" w:rsidP="009F3878">
      <w:pPr>
        <w:jc w:val="both"/>
      </w:pPr>
      <w:r>
        <w:t>- nie otrzymał dotychczas</w:t>
      </w:r>
      <w:r w:rsidR="00A100F4">
        <w:t xml:space="preserve"> wsparcia inwestycji w przetwarzanie produktów rol</w:t>
      </w:r>
      <w:r w:rsidR="0007580F">
        <w:t>nych, obrotu nimi lub ich rozwoju</w:t>
      </w:r>
      <w:r>
        <w:t xml:space="preserve"> </w:t>
      </w:r>
      <w:r w:rsidR="00E54683">
        <w:t>w ramach Programu Rozwoju Obszarów Wiejskich</w:t>
      </w:r>
      <w:r w:rsidR="001C4F29">
        <w:t xml:space="preserve"> 2014-2020 </w:t>
      </w:r>
      <w:r>
        <w:t>– dotyczy działalności gospodarczych w zakresie produkcji artykułów spożywczych lub produkcji napojów</w:t>
      </w:r>
      <w:r w:rsidR="00C42DA8">
        <w:t>,</w:t>
      </w:r>
    </w:p>
    <w:p w:rsidR="00AE520E" w:rsidRDefault="00AE520E" w:rsidP="009F3878">
      <w:pPr>
        <w:jc w:val="both"/>
      </w:pPr>
      <w:r>
        <w:t xml:space="preserve">- w okresie 3 lat poprzedzających dzień </w:t>
      </w:r>
      <w:r w:rsidR="00765AE3">
        <w:t>złożenia wniosku o przyznanie pomocy wykonywał łącznie co najmniej przez 365 dni działalność gospodarczą</w:t>
      </w:r>
      <w:r w:rsidR="001C0083">
        <w:t xml:space="preserve"> oraz nadal ją wykonuje</w:t>
      </w:r>
      <w:r w:rsidR="00F8072A">
        <w:t>,</w:t>
      </w:r>
    </w:p>
    <w:p w:rsidR="008B7FFD" w:rsidRDefault="005C657E" w:rsidP="009F3878">
      <w:pPr>
        <w:jc w:val="both"/>
      </w:pPr>
      <w:r>
        <w:t xml:space="preserve">- </w:t>
      </w:r>
      <w:r w:rsidR="009F3878">
        <w:t>miejsce oznaczone adresem</w:t>
      </w:r>
      <w:r w:rsidR="000E5BFB">
        <w:t>, pod którym wykonuje działalność gospodarczą, wpisanym do Centralnej Ewidencji</w:t>
      </w:r>
      <w:r w:rsidR="00B32ED1">
        <w:t xml:space="preserve"> i Informacji o Działalności Gospodarczej, znajduje się na obszarze wiejskim objętym LSR</w:t>
      </w:r>
      <w:r w:rsidR="00C53BE9">
        <w:t xml:space="preserve"> – w przypadku gdy osoba fizyczna wykonuje działalność gospodarczą, </w:t>
      </w:r>
      <w:r w:rsidR="00475B42">
        <w:t>do której stosuje się przepisy u</w:t>
      </w:r>
      <w:r w:rsidR="00C53BE9">
        <w:t xml:space="preserve">stawy </w:t>
      </w:r>
      <w:r w:rsidR="00915080">
        <w:t>z dnia 6 marca 2018 r. - Prawo przedsiębiorców</w:t>
      </w:r>
    </w:p>
    <w:p w:rsidR="00D02E7B" w:rsidRDefault="00D02E7B" w:rsidP="009F3878">
      <w:pPr>
        <w:jc w:val="both"/>
      </w:pPr>
      <w:r>
        <w:t>LUB</w:t>
      </w:r>
    </w:p>
    <w:p w:rsidR="00056081" w:rsidRDefault="00D02E7B" w:rsidP="00D42472">
      <w:pPr>
        <w:jc w:val="both"/>
      </w:pPr>
      <w:r>
        <w:t xml:space="preserve">- </w:t>
      </w:r>
      <w:r w:rsidR="0045730C">
        <w:t xml:space="preserve">w przypadku osoby prawnej - </w:t>
      </w:r>
      <w:r w:rsidR="00C17B99">
        <w:t>siedziba tej osoby lub jej oddziału znajduje się</w:t>
      </w:r>
      <w:r w:rsidR="005C657E">
        <w:t xml:space="preserve"> </w:t>
      </w:r>
      <w:r w:rsidR="00C17B99">
        <w:t>na obszarze wiejskim objętym LSR</w:t>
      </w:r>
      <w:r w:rsidR="005032A7">
        <w:t xml:space="preserve"> (miejscowości wiejskie, miejsko-wiejskie i miejskie</w:t>
      </w:r>
      <w:r w:rsidR="00324970">
        <w:t>, o liczbie do 20 tys. mieszkańców, należące do którejś z gmin należących do LGD Dobra Widawa)</w:t>
      </w:r>
      <w:r w:rsidR="00F8072A">
        <w:t>,</w:t>
      </w:r>
    </w:p>
    <w:p w:rsidR="004136EF" w:rsidRDefault="004136EF" w:rsidP="00D42472">
      <w:pPr>
        <w:jc w:val="both"/>
      </w:pPr>
      <w:r>
        <w:t>LUB</w:t>
      </w:r>
    </w:p>
    <w:p w:rsidR="008144FA" w:rsidRDefault="004136EF" w:rsidP="00D42472">
      <w:pPr>
        <w:jc w:val="both"/>
        <w:rPr>
          <w:rFonts w:cstheme="minorHAnsi"/>
        </w:rPr>
      </w:pPr>
      <w:r w:rsidRPr="0045730C">
        <w:rPr>
          <w:rFonts w:cstheme="minorHAnsi"/>
        </w:rPr>
        <w:t xml:space="preserve"> </w:t>
      </w:r>
      <w:r w:rsidR="0045730C" w:rsidRPr="0045730C">
        <w:rPr>
          <w:rFonts w:cstheme="minorHAnsi"/>
        </w:rPr>
        <w:t xml:space="preserve">- w przypadku </w:t>
      </w:r>
      <w:r w:rsidR="0045730C">
        <w:rPr>
          <w:rFonts w:cstheme="minorHAnsi"/>
        </w:rPr>
        <w:t>jednostek organizacyjnych nieposiadających</w:t>
      </w:r>
      <w:r w:rsidRPr="0045730C">
        <w:rPr>
          <w:rFonts w:cstheme="minorHAnsi"/>
        </w:rPr>
        <w:t xml:space="preserve"> osobowości prawnej, której ustawa przyznaje </w:t>
      </w:r>
      <w:r w:rsidR="008144FA">
        <w:rPr>
          <w:rFonts w:cstheme="minorHAnsi"/>
        </w:rPr>
        <w:t xml:space="preserve">zdolność prawną - </w:t>
      </w:r>
      <w:r w:rsidRPr="0045730C">
        <w:rPr>
          <w:rFonts w:cstheme="minorHAnsi"/>
        </w:rPr>
        <w:t xml:space="preserve">siedziba tej jednostki lub jej oddziału znajduje się na obszarze wiejskim </w:t>
      </w:r>
      <w:r w:rsidR="008144FA">
        <w:rPr>
          <w:rFonts w:cstheme="minorHAnsi"/>
        </w:rPr>
        <w:t>objętym LSR</w:t>
      </w:r>
      <w:r w:rsidRPr="0045730C">
        <w:rPr>
          <w:rFonts w:cstheme="minorHAnsi"/>
        </w:rPr>
        <w:t xml:space="preserve">. </w:t>
      </w:r>
    </w:p>
    <w:p w:rsidR="004136EF" w:rsidRPr="0045730C" w:rsidRDefault="004136EF" w:rsidP="00D42472">
      <w:pPr>
        <w:jc w:val="both"/>
        <w:rPr>
          <w:rFonts w:cstheme="minorHAnsi"/>
        </w:rPr>
      </w:pPr>
      <w:r w:rsidRPr="0045730C">
        <w:rPr>
          <w:rFonts w:cstheme="minorHAnsi"/>
        </w:rPr>
        <w:t>W praktyce oznacza to, że o pomoc w ramach rozwijania działalności gospodarczej mogą ubiegać się: spółki prawa cywilnego oraz spółki prawa handlowego. Szczegóły dotyczące przyznania pomocy w/w</w:t>
      </w:r>
      <w:r w:rsidR="008144FA">
        <w:rPr>
          <w:rFonts w:cstheme="minorHAnsi"/>
        </w:rPr>
        <w:t xml:space="preserve"> podmiotom zostały opisane w</w:t>
      </w:r>
      <w:r w:rsidR="00F8072A">
        <w:rPr>
          <w:rFonts w:cstheme="minorHAnsi"/>
        </w:rPr>
        <w:t xml:space="preserve"> </w:t>
      </w:r>
      <w:r w:rsidR="00F8072A" w:rsidRPr="00F8072A">
        <w:rPr>
          <w:rFonts w:cstheme="minorHAnsi"/>
        </w:rPr>
        <w:t>rozporządzeniu Ministra Rolnictwa i Rozwoju Wsi w sprawie szczegółowych warunków i trybu przyznawania pomocy finansowej w ramach poddziałania „Wsparcie na wdrażanie operacji w ramach strategii rozwoju lokalnego kierowanego przez społeczność", objętego Programem Rozwoju Obszarów Wiejskich na łata 2014-2020</w:t>
      </w:r>
      <w:r w:rsidRPr="00F8072A">
        <w:rPr>
          <w:rFonts w:cstheme="minorHAnsi"/>
        </w:rPr>
        <w:t xml:space="preserve"> oraz Instrukcji wypełniania wniosku o</w:t>
      </w:r>
      <w:r w:rsidR="008144FA" w:rsidRPr="00F8072A">
        <w:rPr>
          <w:rFonts w:cstheme="minorHAnsi"/>
        </w:rPr>
        <w:t xml:space="preserve"> przyznanie pomocy.</w:t>
      </w:r>
    </w:p>
    <w:p w:rsidR="009B6E0B" w:rsidRDefault="00F8072A" w:rsidP="009B6E0B">
      <w:pPr>
        <w:jc w:val="both"/>
      </w:pPr>
      <w:r>
        <w:lastRenderedPageBreak/>
        <w:t>W</w:t>
      </w:r>
      <w:r w:rsidR="00ED4D4E">
        <w:t xml:space="preserve"> przypadku, gdy operacja będzie realizowana w ramach wykonywania działalności gospoda</w:t>
      </w:r>
      <w:r w:rsidR="00905D5A">
        <w:t>rczej w</w:t>
      </w:r>
      <w:r w:rsidR="00221005">
        <w:t xml:space="preserve"> formie spółki cywilnej, każdy</w:t>
      </w:r>
      <w:r w:rsidR="00905D5A">
        <w:t xml:space="preserve"> </w:t>
      </w:r>
      <w:r w:rsidR="00221005">
        <w:t>członek</w:t>
      </w:r>
      <w:r w:rsidR="00905D5A">
        <w:t xml:space="preserve"> </w:t>
      </w:r>
      <w:r w:rsidR="00221005">
        <w:t xml:space="preserve">spółki </w:t>
      </w:r>
      <w:r w:rsidR="00C5511B">
        <w:t>w okresie 3 lat poprzedzających dzień złożenia wniosku o przyznanie pomocy wykonywał łącznie co najmniej przez 365 dni działalność gospodarczą oraz nadal ją wykonuje</w:t>
      </w:r>
      <w:r w:rsidR="00E524D5">
        <w:t>, przy czym  na okres wykonywania działalności przez wspólnika działalności gospodarczej może składać się</w:t>
      </w:r>
      <w:r w:rsidR="00717958">
        <w:t xml:space="preserve"> wykonywanie przez niego działalności gospodarczej w ramach spółki cywilnej, jak i okres, w którym we własnym imieniu</w:t>
      </w:r>
      <w:r w:rsidR="005845AB">
        <w:t xml:space="preserve"> prowadził działalność spółki cywilnej (nie będąc wspólnikiem spółki cywilnej)</w:t>
      </w:r>
      <w:r w:rsidR="00E83536">
        <w:t>. Miejsce oznaczone adresem, pod którym wykonuje działalność gospodarczą, wpisanym do Centralnej Ewidencji i Informacji o Działalności Gospodarczej, znajduje się na obszarze wiejskim objętym LSR.</w:t>
      </w:r>
    </w:p>
    <w:p w:rsidR="009B6E0B" w:rsidRDefault="009B6E0B" w:rsidP="009B6E0B">
      <w:pPr>
        <w:jc w:val="both"/>
      </w:pPr>
      <w:r>
        <w:t xml:space="preserve">- wykonuje działalność gospodarczą, </w:t>
      </w:r>
      <w:r w:rsidR="00915080">
        <w:t>do której stosuje się przepisy u</w:t>
      </w:r>
      <w:r>
        <w:t xml:space="preserve">stawy </w:t>
      </w:r>
      <w:r w:rsidR="001610AB">
        <w:t>z dnia 6 marca 2018 r. - Prawo przedsiębiorców</w:t>
      </w:r>
      <w:r w:rsidR="001610AB">
        <w:t xml:space="preserve"> </w:t>
      </w:r>
      <w:r>
        <w:t>i do działalności rozwijanej także będzie  miała zastosowanie powyższa ustawa.</w:t>
      </w:r>
    </w:p>
    <w:p w:rsidR="009B6E0B" w:rsidRPr="00602EC7" w:rsidRDefault="009B6E0B" w:rsidP="00602EC7">
      <w:pPr>
        <w:jc w:val="both"/>
        <w:rPr>
          <w:b/>
        </w:rPr>
      </w:pPr>
      <w:r w:rsidRPr="002A2799">
        <w:rPr>
          <w:b/>
        </w:rPr>
        <w:t>Przepisów tej ustawy nie stosuje się do:</w:t>
      </w:r>
    </w:p>
    <w:p w:rsidR="00F32FCC" w:rsidRPr="00C022F6" w:rsidRDefault="00F32FCC" w:rsidP="00F32FCC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działalności </w:t>
      </w:r>
      <w:r w:rsidRPr="00244EC4">
        <w:rPr>
          <w:u w:val="single"/>
        </w:rPr>
        <w:t>wytwórczej</w:t>
      </w:r>
      <w:r>
        <w:t xml:space="preserve"> w rolnictwie w zakresie upraw rolnych oraz chowu i hodowli zwierząt, ogrodnictwa, warzywnictwa, leśnictwa i rybactwa śródlądowego,</w:t>
      </w:r>
    </w:p>
    <w:p w:rsidR="00F32FCC" w:rsidRPr="00C022F6" w:rsidRDefault="00F32FCC" w:rsidP="00F32FCC">
      <w:pPr>
        <w:pStyle w:val="Akapitzlist"/>
        <w:numPr>
          <w:ilvl w:val="0"/>
          <w:numId w:val="2"/>
        </w:numPr>
        <w:ind w:left="426" w:hanging="426"/>
        <w:jc w:val="both"/>
      </w:pPr>
      <w:r>
        <w:t>wynajmowania przez rolników pokoi, sprzedaży posiłków domowych i świadczenia w gospodarstwach rolnych innych usług związanych z pobytem turystów,</w:t>
      </w:r>
    </w:p>
    <w:p w:rsidR="00F32FCC" w:rsidRDefault="00F32FCC" w:rsidP="00F32FC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462CE7">
        <w:rPr>
          <w:rFonts w:cstheme="minorHAnsi"/>
        </w:rPr>
        <w:t>wyrobu wina przez producentów będących rolnikami wyrabiającymi mniej niż 100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hektolitrów wina w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ciągu roku gospodarczego, o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których mowa w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art.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17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ust.3 ustawy z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dnia 12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maja 2011r. o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wyrobie i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rozlewie wyrobów winiar</w:t>
      </w:r>
      <w:r>
        <w:rPr>
          <w:rFonts w:cstheme="minorHAnsi"/>
        </w:rPr>
        <w:t>s</w:t>
      </w:r>
      <w:r w:rsidRPr="00462CE7">
        <w:rPr>
          <w:rFonts w:cstheme="minorHAnsi"/>
        </w:rPr>
        <w:t>kich, obrocie tymi wyrobami i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orga</w:t>
      </w:r>
      <w:r>
        <w:rPr>
          <w:rFonts w:cstheme="minorHAnsi"/>
        </w:rPr>
        <w:t xml:space="preserve">nizacji rynku wina (Dz.U. z 2016 </w:t>
      </w:r>
      <w:r w:rsidRPr="00462CE7">
        <w:rPr>
          <w:rFonts w:cstheme="minorHAnsi"/>
        </w:rPr>
        <w:t xml:space="preserve">r. poz. </w:t>
      </w:r>
      <w:r>
        <w:rPr>
          <w:rFonts w:cstheme="minorHAnsi"/>
        </w:rPr>
        <w:t>859, z 2017 r. poz. 624 oraz z 2018 r. poz. 650</w:t>
      </w:r>
      <w:r w:rsidRPr="00462CE7">
        <w:rPr>
          <w:rFonts w:cstheme="minorHAnsi"/>
        </w:rPr>
        <w:t>)</w:t>
      </w:r>
      <w:r>
        <w:rPr>
          <w:rFonts w:cstheme="minorHAnsi"/>
        </w:rPr>
        <w:t>,</w:t>
      </w:r>
    </w:p>
    <w:p w:rsidR="00F32FCC" w:rsidRDefault="00F32FCC" w:rsidP="00F32FC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462CE7">
        <w:rPr>
          <w:rFonts w:cstheme="minorHAnsi"/>
        </w:rPr>
        <w:t>działalności rolników w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zakresie sprzedaży, o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której mowa w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art.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ust.1c ustawy z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dnia 26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lipca 1991r. o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podatku dochodowym od osób fizycznych (Dz.U. z</w:t>
      </w:r>
      <w:r>
        <w:rPr>
          <w:rFonts w:cstheme="minorHAnsi"/>
        </w:rPr>
        <w:t xml:space="preserve"> </w:t>
      </w:r>
      <w:r w:rsidRPr="00462CE7">
        <w:rPr>
          <w:rFonts w:cstheme="minorHAnsi"/>
        </w:rPr>
        <w:t>2018r. poz.</w:t>
      </w:r>
      <w:r>
        <w:rPr>
          <w:rFonts w:cstheme="minorHAnsi"/>
        </w:rPr>
        <w:t xml:space="preserve"> 200</w:t>
      </w:r>
      <w:r w:rsidRPr="00462CE7">
        <w:rPr>
          <w:rFonts w:cstheme="minorHAnsi"/>
        </w:rPr>
        <w:t>, z</w:t>
      </w:r>
      <w:r>
        <w:rPr>
          <w:rFonts w:cstheme="minorHAnsi"/>
        </w:rPr>
        <w:t xml:space="preserve"> </w:t>
      </w:r>
      <w:proofErr w:type="spellStart"/>
      <w:r w:rsidRPr="00462CE7">
        <w:rPr>
          <w:rFonts w:cstheme="minorHAnsi"/>
        </w:rPr>
        <w:t>późn</w:t>
      </w:r>
      <w:proofErr w:type="spellEnd"/>
      <w:r w:rsidRPr="00462CE7">
        <w:rPr>
          <w:rFonts w:cstheme="minorHAnsi"/>
        </w:rPr>
        <w:t>. zm.</w:t>
      </w:r>
      <w:r>
        <w:rPr>
          <w:rFonts w:cstheme="minorHAnsi"/>
        </w:rPr>
        <w:t>)</w:t>
      </w:r>
    </w:p>
    <w:p w:rsidR="00F32FCC" w:rsidRPr="00C42DA8" w:rsidRDefault="00F32FCC" w:rsidP="002A5CBF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462CE7">
        <w:rPr>
          <w:rFonts w:cstheme="minorHAnsi"/>
        </w:rPr>
        <w:t>działalności prowadzonej przez koła gospodyń wiejskich na podstawie ustawy z dnia 9 listopada 2018 r. o kołach gospodyń wiejskich (Dz. U. poz. 2212</w:t>
      </w:r>
      <w:r>
        <w:rPr>
          <w:rFonts w:cstheme="minorHAnsi"/>
        </w:rPr>
        <w:t xml:space="preserve">), </w:t>
      </w:r>
      <w:r w:rsidRPr="00462CE7">
        <w:rPr>
          <w:rFonts w:cstheme="minorHAnsi"/>
        </w:rPr>
        <w:t>które spełniają warunki, o których mowa w art. 24 ust. 1 tej ustawy.</w:t>
      </w:r>
    </w:p>
    <w:p w:rsidR="009B6E0B" w:rsidRPr="002A5CBF" w:rsidRDefault="00602EC7" w:rsidP="002A5CBF">
      <w:pPr>
        <w:jc w:val="both"/>
        <w:rPr>
          <w:b/>
        </w:rPr>
      </w:pPr>
      <w:r>
        <w:rPr>
          <w:b/>
        </w:rPr>
        <w:t>Ponadto w</w:t>
      </w:r>
      <w:r w:rsidR="009B6E0B" w:rsidRPr="00602EC7">
        <w:rPr>
          <w:b/>
        </w:rPr>
        <w:t>ykluczeniu</w:t>
      </w:r>
      <w:r>
        <w:rPr>
          <w:b/>
        </w:rPr>
        <w:t xml:space="preserve"> ze wsparcia,</w:t>
      </w:r>
      <w:r w:rsidR="009B6E0B" w:rsidRPr="00602EC7">
        <w:rPr>
          <w:b/>
        </w:rPr>
        <w:t xml:space="preserve"> z uwagi na przynależność do następujących kodów PKD (zgodnie z przepisami rozporządzenia Rady Ministrów z dnia 24 grudnia 2007 r. w sprawie Polskiej Klasyfikacji Działalności (PKD))</w:t>
      </w:r>
      <w:r>
        <w:rPr>
          <w:b/>
        </w:rPr>
        <w:t>, podlegają następujące działalności</w:t>
      </w:r>
      <w:r w:rsidR="009B6E0B" w:rsidRPr="00602EC7">
        <w:rPr>
          <w:b/>
        </w:rPr>
        <w:t>:</w:t>
      </w:r>
    </w:p>
    <w:p w:rsidR="009B6E0B" w:rsidRDefault="009B6E0B" w:rsidP="00F32FCC">
      <w:pPr>
        <w:pStyle w:val="Akapitzlist"/>
        <w:numPr>
          <w:ilvl w:val="0"/>
          <w:numId w:val="5"/>
        </w:numPr>
        <w:ind w:left="426" w:hanging="426"/>
        <w:jc w:val="both"/>
      </w:pPr>
      <w:r w:rsidRPr="00CD600F">
        <w:t xml:space="preserve">działalność </w:t>
      </w:r>
      <w:r>
        <w:t>usługowa wspomagająca rolnictwo i następująca po zbiorach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górnictwo i wydobywanie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działalność usługowa wspomagająca górnictwo i wydobywanie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przetwarzanie i konserwowanie ryb, skorupiaków i mięczaków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wytwarzanie i przetwarzanie koksu i produktów rafinacji ropy naftowej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produkcja chemikaliów oraz wyrobów chemicznych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produkcja podstawowych substancji farmaceutycznych oraz leków i pozostałych wyrobów farmaceutycznych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produkcja metali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produkcja pojazdów samochodowych, przyczep i naczep oraz motocykli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transport lotniczy i kolejowy</w:t>
      </w:r>
    </w:p>
    <w:p w:rsidR="009B6E0B" w:rsidRDefault="009B6E0B" w:rsidP="00602EC7">
      <w:pPr>
        <w:pStyle w:val="Akapitzlist"/>
        <w:numPr>
          <w:ilvl w:val="0"/>
          <w:numId w:val="5"/>
        </w:numPr>
        <w:ind w:left="426" w:hanging="426"/>
        <w:jc w:val="both"/>
      </w:pPr>
      <w:r>
        <w:t>gospodarka magazynowa</w:t>
      </w:r>
    </w:p>
    <w:p w:rsidR="00012401" w:rsidRDefault="00012401" w:rsidP="00012401">
      <w:pPr>
        <w:pStyle w:val="Akapitzlist"/>
        <w:ind w:left="426"/>
        <w:jc w:val="both"/>
      </w:pPr>
    </w:p>
    <w:p w:rsidR="00152BBD" w:rsidRDefault="00012401" w:rsidP="006D1747">
      <w:pPr>
        <w:jc w:val="both"/>
      </w:pPr>
      <w:r>
        <w:rPr>
          <w:b/>
        </w:rPr>
        <w:t xml:space="preserve">- </w:t>
      </w:r>
      <w:r w:rsidRPr="00012401">
        <w:rPr>
          <w:b/>
        </w:rPr>
        <w:t>Obowiązkiem wnioskodawcy jest stworzenie w ramach projektu co najmniej jednego miejsca pracy</w:t>
      </w:r>
      <w:r>
        <w:t>, co rozumiane jest jako utworzenie co najmniej jednego miejsca pracy w przeliczeniu na pełne etaty średnioroczne</w:t>
      </w:r>
      <w:r w:rsidR="002210D0">
        <w:t xml:space="preserve"> (na umowę o pracę)</w:t>
      </w:r>
      <w:r>
        <w:t xml:space="preserve">, gdy jest to uzasadnione zakresem realizacji operacji, a także </w:t>
      </w:r>
      <w:r w:rsidR="006772C6">
        <w:lastRenderedPageBreak/>
        <w:t>utrzymanie utworzonego</w:t>
      </w:r>
      <w:r>
        <w:t xml:space="preserve"> miejsc</w:t>
      </w:r>
      <w:r w:rsidR="006772C6">
        <w:t>a</w:t>
      </w:r>
      <w:r>
        <w:t xml:space="preserve"> pracy do dnia, w którym upłynie 3 lata od dnia wypłaty płatności końcowej.</w:t>
      </w:r>
    </w:p>
    <w:p w:rsidR="0073250B" w:rsidRDefault="0073250B" w:rsidP="006D1747">
      <w:pPr>
        <w:jc w:val="both"/>
      </w:pPr>
    </w:p>
    <w:p w:rsidR="00013A2F" w:rsidRPr="00013A2F" w:rsidRDefault="00013A2F" w:rsidP="00013A2F">
      <w:pPr>
        <w:pStyle w:val="Akapitzlist"/>
        <w:numPr>
          <w:ilvl w:val="0"/>
          <w:numId w:val="1"/>
        </w:numPr>
        <w:jc w:val="both"/>
        <w:rPr>
          <w:b/>
        </w:rPr>
      </w:pPr>
      <w:r w:rsidRPr="00013A2F">
        <w:rPr>
          <w:b/>
        </w:rPr>
        <w:t>Pomoc jest przyznawana podmiotowi, gdy:</w:t>
      </w:r>
    </w:p>
    <w:p w:rsidR="00013A2F" w:rsidRDefault="00013A2F" w:rsidP="00013A2F">
      <w:pPr>
        <w:jc w:val="both"/>
      </w:pPr>
      <w:r>
        <w:t>- koszty kwalifikowalne operacji nie są współfinansowane z innych środków publicznych,</w:t>
      </w:r>
    </w:p>
    <w:p w:rsidR="00671D04" w:rsidRDefault="00671D04" w:rsidP="00013A2F">
      <w:pPr>
        <w:jc w:val="both"/>
      </w:pPr>
      <w:r>
        <w:t xml:space="preserve">- </w:t>
      </w:r>
      <w:r w:rsidR="007D33C8">
        <w:t>realizacja operacji nie jest możliwa bez środków publicznych,</w:t>
      </w:r>
    </w:p>
    <w:p w:rsidR="0073250B" w:rsidRDefault="0073250B" w:rsidP="00013A2F">
      <w:pPr>
        <w:jc w:val="both"/>
      </w:pPr>
      <w:r>
        <w:t>- operacja jest uzasadniona ekonomicznie i będzie realizowana zgodnie z biznesplanem,</w:t>
      </w:r>
    </w:p>
    <w:p w:rsidR="001667FF" w:rsidRDefault="001667FF" w:rsidP="00E963E0">
      <w:pPr>
        <w:ind w:right="-284"/>
        <w:jc w:val="both"/>
      </w:pPr>
      <w:r>
        <w:t>-</w:t>
      </w:r>
      <w:r w:rsidRPr="001667FF">
        <w:t xml:space="preserve"> </w:t>
      </w:r>
      <w:r>
        <w:t>o</w:t>
      </w:r>
      <w:r w:rsidRPr="00717735">
        <w:t xml:space="preserve">peracja będzie realizowana nie więcej niż w 2 etapach, a </w:t>
      </w:r>
      <w:r>
        <w:t xml:space="preserve">wykonanie zakresu rzeczowego zgodnie z zestawieniem rzeczowo-finansowym operacji, w tym poniesienie przez beneficjenta kosztów kwalifikowalnych operacji oraz złożenie wniosku o płatność  końcową wypłaconą po zrealizowaniu całej operacji, nastąpi w terminie 2 lat od dnia zawarcia umowy, lecz nie później niż do dnia 31 grudnia 2022 r. </w:t>
      </w:r>
      <w:r w:rsidRPr="000877DC">
        <w:rPr>
          <w:u w:val="single"/>
        </w:rPr>
        <w:t>Uwaga! Termin na realizację operacji może zostać skrócony</w:t>
      </w:r>
      <w:r w:rsidR="006772C6">
        <w:rPr>
          <w:u w:val="single"/>
        </w:rPr>
        <w:t xml:space="preserve"> w danym naborze</w:t>
      </w:r>
      <w:r>
        <w:rPr>
          <w:u w:val="single"/>
        </w:rPr>
        <w:t>!</w:t>
      </w:r>
    </w:p>
    <w:p w:rsidR="00717735" w:rsidRDefault="00717735" w:rsidP="00717735">
      <w:pPr>
        <w:jc w:val="both"/>
      </w:pPr>
      <w:r w:rsidRPr="00717735">
        <w:t xml:space="preserve">- </w:t>
      </w:r>
      <w:r w:rsidR="00181CCE">
        <w:t>operacja, która obejmuje koszty inwestycyjne, zakłada realizację inwestycji na obszarze wiejskim objętym LSR,</w:t>
      </w:r>
    </w:p>
    <w:p w:rsidR="00181CCE" w:rsidRDefault="00181CCE" w:rsidP="00717735">
      <w:pPr>
        <w:jc w:val="both"/>
      </w:pPr>
      <w:r>
        <w:t>- inwestycje w ramach operacji</w:t>
      </w:r>
      <w:r w:rsidR="00753AF3">
        <w:t xml:space="preserve"> będą realizowane na nieruchomości będącej własnością, </w:t>
      </w:r>
      <w:r w:rsidR="007F124A">
        <w:t xml:space="preserve">lub </w:t>
      </w:r>
      <w:r w:rsidR="00753AF3">
        <w:t>współwłasnością</w:t>
      </w:r>
      <w:r w:rsidR="007F124A">
        <w:t xml:space="preserve"> podmiotu ubiegającego się o wsparcie lub podmiot ten posiada prawo do dysponowania nieruchomością </w:t>
      </w:r>
      <w:r w:rsidR="00956CA2">
        <w:t>na cele określone we wniosku (co najmniej na okres realizacji operacji oraz podlegania zobowiązaniu do zapewnienia trwałości operacji)</w:t>
      </w:r>
    </w:p>
    <w:p w:rsidR="009333AB" w:rsidRDefault="009333AB" w:rsidP="00717735">
      <w:pPr>
        <w:jc w:val="both"/>
      </w:pPr>
      <w:r>
        <w:t xml:space="preserve">- podmiot wykaże, że posiada </w:t>
      </w:r>
      <w:r w:rsidRPr="00A6280F">
        <w:rPr>
          <w:u w:val="single"/>
        </w:rPr>
        <w:t>doświadczenie</w:t>
      </w:r>
      <w:r w:rsidR="00352CDD">
        <w:t xml:space="preserve"> lub </w:t>
      </w:r>
      <w:r w:rsidR="00352CDD" w:rsidRPr="00A6280F">
        <w:rPr>
          <w:u w:val="single"/>
        </w:rPr>
        <w:t>zasoby</w:t>
      </w:r>
      <w:r w:rsidR="00352CDD">
        <w:t xml:space="preserve"> lub </w:t>
      </w:r>
      <w:r w:rsidR="00352CDD" w:rsidRPr="00A6280F">
        <w:rPr>
          <w:u w:val="single"/>
        </w:rPr>
        <w:t>kwalifikacje</w:t>
      </w:r>
      <w:r w:rsidR="00733A8D">
        <w:t xml:space="preserve">, lub </w:t>
      </w:r>
      <w:r w:rsidR="00733A8D" w:rsidRPr="00733A8D">
        <w:rPr>
          <w:u w:val="single"/>
        </w:rPr>
        <w:t>wykonuje działalność</w:t>
      </w:r>
      <w:r w:rsidR="00733A8D">
        <w:t xml:space="preserve"> odpowiednią</w:t>
      </w:r>
      <w:r w:rsidR="00A6280F">
        <w:t xml:space="preserve"> do charakteru</w:t>
      </w:r>
      <w:r>
        <w:t xml:space="preserve"> operacji, jaką zamierza realizować</w:t>
      </w:r>
      <w:r w:rsidR="00733A8D">
        <w:t>.</w:t>
      </w:r>
    </w:p>
    <w:p w:rsidR="000C02E2" w:rsidRPr="00717735" w:rsidRDefault="000C02E2" w:rsidP="00717735">
      <w:pPr>
        <w:jc w:val="both"/>
      </w:pPr>
      <w:r>
        <w:t>- została wydana ostateczna decyzja o środowiskowych uwarunkowaniach</w:t>
      </w:r>
      <w:r w:rsidR="000215DC">
        <w:t>, jeżeli jej wydanie jest wymagane przepisami odrębnymi</w:t>
      </w:r>
    </w:p>
    <w:p w:rsidR="007B7393" w:rsidRPr="003F7AA9" w:rsidRDefault="007B7393" w:rsidP="003F7AA9">
      <w:pPr>
        <w:rPr>
          <w:b/>
        </w:rPr>
      </w:pPr>
    </w:p>
    <w:p w:rsidR="00E259D6" w:rsidRDefault="00E259D6" w:rsidP="00DD54A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Koszty kwalifikowalne: </w:t>
      </w:r>
    </w:p>
    <w:p w:rsidR="00E259D6" w:rsidRDefault="00C20A12" w:rsidP="00AD202A">
      <w:pPr>
        <w:pStyle w:val="Akapitzlist"/>
        <w:numPr>
          <w:ilvl w:val="0"/>
          <w:numId w:val="7"/>
        </w:numPr>
        <w:ind w:left="426" w:hanging="426"/>
        <w:jc w:val="both"/>
      </w:pPr>
      <w:r>
        <w:t>k</w:t>
      </w:r>
      <w:r w:rsidR="00900DB1">
        <w:t>oszty ogólne, o których mowa w art. 45 ust. 2 lit. c rozporządzenia nr 1305/2013 (</w:t>
      </w:r>
      <w:r w:rsidR="00770636">
        <w:t>tj. związane z kosztami budowy/modernizacji nieruchomości lub kosztami</w:t>
      </w:r>
      <w:r w:rsidR="002D428B">
        <w:t xml:space="preserve"> zakupu nowych maszyn/wyposażenia do wartości rynkowej majątku, takie jak: honoraria architektów, inżynierów, opłaty za konsultacje, opłaty</w:t>
      </w:r>
      <w:r>
        <w:t xml:space="preserve"> za doradztwo w zakresie zrównoważenia środowiskowego i gospodarczego)</w:t>
      </w:r>
      <w:r w:rsidR="00810E8B">
        <w:t>. Koszty ogólne mogą stanowić do 10% wartości kosztów kwalifikowalnych operacji.</w:t>
      </w:r>
    </w:p>
    <w:p w:rsidR="00C20A12" w:rsidRDefault="00C20A12" w:rsidP="00AD202A">
      <w:pPr>
        <w:pStyle w:val="Akapitzlist"/>
        <w:numPr>
          <w:ilvl w:val="0"/>
          <w:numId w:val="7"/>
        </w:numPr>
        <w:ind w:left="426" w:hanging="426"/>
        <w:jc w:val="both"/>
      </w:pPr>
      <w:r>
        <w:t>koszty zakupu robót budowlanych lub usług</w:t>
      </w:r>
    </w:p>
    <w:p w:rsidR="004442C0" w:rsidRDefault="004442C0" w:rsidP="00AD202A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koszty zakupu lub rozwoju oprogramowania </w:t>
      </w:r>
      <w:r w:rsidR="004912DD">
        <w:t>komputerowego oraz zakupu patentów, licencji lub wynagrodzeń za przeniesienie autorskich praw majątkowych lub znaków towarowych</w:t>
      </w:r>
    </w:p>
    <w:p w:rsidR="004912DD" w:rsidRDefault="00A358E7" w:rsidP="00AD202A">
      <w:pPr>
        <w:pStyle w:val="Akapitzlist"/>
        <w:numPr>
          <w:ilvl w:val="0"/>
          <w:numId w:val="7"/>
        </w:numPr>
        <w:ind w:left="426" w:hanging="426"/>
        <w:jc w:val="both"/>
      </w:pPr>
      <w:r>
        <w:t>koszty najmu lub dzierżawy maszyn, wyposażenia lub nieruchomości</w:t>
      </w:r>
    </w:p>
    <w:p w:rsidR="00A358E7" w:rsidRDefault="00A358E7" w:rsidP="00AD202A">
      <w:pPr>
        <w:pStyle w:val="Akapitzlist"/>
        <w:numPr>
          <w:ilvl w:val="0"/>
          <w:numId w:val="7"/>
        </w:numPr>
        <w:ind w:left="426" w:hanging="426"/>
        <w:jc w:val="both"/>
      </w:pPr>
      <w:r>
        <w:t>koszty zakupu nowych maszyn lub wyposażenia</w:t>
      </w:r>
    </w:p>
    <w:p w:rsidR="00E259D6" w:rsidRDefault="00A358E7" w:rsidP="00AD202A">
      <w:pPr>
        <w:pStyle w:val="Akapitzlist"/>
        <w:numPr>
          <w:ilvl w:val="0"/>
          <w:numId w:val="7"/>
        </w:numPr>
        <w:ind w:left="426" w:hanging="426"/>
        <w:jc w:val="both"/>
      </w:pPr>
      <w:r w:rsidRPr="00FA053B">
        <w:t>koszty zakupu środków transportu, z wyłączeniem</w:t>
      </w:r>
      <w:r w:rsidR="003476C3" w:rsidRPr="00FA053B">
        <w:t xml:space="preserve"> zakupu samochodów osobowych </w:t>
      </w:r>
      <w:r w:rsidR="003476C3" w:rsidRPr="00CC799C">
        <w:t>przeznaczonych do przewozu</w:t>
      </w:r>
      <w:r w:rsidR="00FA053B" w:rsidRPr="00CC799C">
        <w:t xml:space="preserve"> mniej niż 8 osób łącznie  z kierowcą</w:t>
      </w:r>
      <w:r w:rsidR="00E07009">
        <w:t xml:space="preserve">. </w:t>
      </w:r>
    </w:p>
    <w:p w:rsidR="007F3FBB" w:rsidRDefault="007F3FBB" w:rsidP="00AD202A">
      <w:pPr>
        <w:pStyle w:val="Akapitzlist"/>
        <w:ind w:left="426"/>
        <w:jc w:val="both"/>
      </w:pPr>
      <w:r>
        <w:t>(</w:t>
      </w:r>
      <w:r w:rsidR="00E07009">
        <w:t xml:space="preserve">Limit na zakup środka transportu wynosi </w:t>
      </w:r>
      <w:r w:rsidR="001752BC">
        <w:t xml:space="preserve">do </w:t>
      </w:r>
      <w:r w:rsidR="00E07009">
        <w:t>30%</w:t>
      </w:r>
      <w:r w:rsidR="001752BC">
        <w:t xml:space="preserve"> kosztów kwalifikowalnych pomniejszonych o koszty ogólne</w:t>
      </w:r>
      <w:r>
        <w:t>)</w:t>
      </w:r>
    </w:p>
    <w:p w:rsidR="00FA053B" w:rsidRPr="00CC799C" w:rsidRDefault="00CC799C" w:rsidP="00AD202A">
      <w:pPr>
        <w:pStyle w:val="Akapitzlist"/>
        <w:numPr>
          <w:ilvl w:val="0"/>
          <w:numId w:val="7"/>
        </w:numPr>
        <w:ind w:left="426" w:hanging="426"/>
        <w:jc w:val="both"/>
      </w:pPr>
      <w:r w:rsidRPr="00CC799C">
        <w:t>zakupu rzeczy innych niż wymienione w pkt 5 i 6, w tym materiałów</w:t>
      </w:r>
    </w:p>
    <w:p w:rsidR="00CC799C" w:rsidRPr="00CD2EA4" w:rsidRDefault="00062F01" w:rsidP="00AD202A">
      <w:pPr>
        <w:pStyle w:val="Akapitzlist"/>
        <w:numPr>
          <w:ilvl w:val="0"/>
          <w:numId w:val="7"/>
        </w:numPr>
        <w:ind w:left="426" w:hanging="426"/>
        <w:jc w:val="both"/>
      </w:pPr>
      <w:r w:rsidRPr="00CD2EA4">
        <w:t xml:space="preserve">podatku od towarów i usług </w:t>
      </w:r>
      <w:r w:rsidR="00ED4C7A" w:rsidRPr="00CD2EA4">
        <w:t>(</w:t>
      </w:r>
      <w:r w:rsidRPr="00CD2EA4">
        <w:t>VAT</w:t>
      </w:r>
      <w:r w:rsidR="00ED4C7A" w:rsidRPr="00CD2EA4">
        <w:t>)</w:t>
      </w:r>
      <w:r w:rsidRPr="00CD2EA4">
        <w:t xml:space="preserve">, zgodnie z art. </w:t>
      </w:r>
      <w:r w:rsidR="00ED4C7A" w:rsidRPr="00CD2EA4">
        <w:t>69 ust. 3 lit. c rozporządzenia nr 1303/2013</w:t>
      </w:r>
    </w:p>
    <w:p w:rsidR="00CD2EA4" w:rsidRDefault="00CD2EA4" w:rsidP="00CD2EA4">
      <w:pPr>
        <w:pStyle w:val="Akapitzlist"/>
        <w:ind w:left="1080"/>
        <w:jc w:val="both"/>
        <w:rPr>
          <w:b/>
        </w:rPr>
      </w:pPr>
    </w:p>
    <w:p w:rsidR="007D33C8" w:rsidRPr="007D33C8" w:rsidRDefault="00CD2EA4" w:rsidP="002F0213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 xml:space="preserve">Koszty ujęte w projekcie jako kwalifikowalne muszą być uzasadnione zakresem operacji, niezbędne </w:t>
      </w:r>
      <w:r w:rsidR="00B75ADB">
        <w:rPr>
          <w:b/>
        </w:rPr>
        <w:t xml:space="preserve">do osiągnięcia jej celu oraz </w:t>
      </w:r>
      <w:r w:rsidR="00F872EB">
        <w:rPr>
          <w:b/>
        </w:rPr>
        <w:t>racjonalne.</w:t>
      </w:r>
    </w:p>
    <w:p w:rsidR="00417CD4" w:rsidRDefault="00417CD4" w:rsidP="00F872EB">
      <w:pPr>
        <w:pStyle w:val="Akapitzlist"/>
        <w:ind w:left="1080"/>
        <w:jc w:val="both"/>
        <w:rPr>
          <w:b/>
        </w:rPr>
      </w:pPr>
    </w:p>
    <w:p w:rsidR="00417CD4" w:rsidRPr="00717735" w:rsidRDefault="00417CD4" w:rsidP="00417CD4">
      <w:pPr>
        <w:pStyle w:val="Akapitzlist"/>
        <w:numPr>
          <w:ilvl w:val="0"/>
          <w:numId w:val="1"/>
        </w:numPr>
        <w:jc w:val="both"/>
      </w:pPr>
      <w:r w:rsidRPr="00417CD4">
        <w:rPr>
          <w:b/>
        </w:rPr>
        <w:t>Okres trwałości projektu</w:t>
      </w:r>
      <w:r w:rsidRPr="00717735">
        <w:t xml:space="preserve"> wynosi 3 lata, liczone od dnia otrzymania płatności II transzy pomocy.</w:t>
      </w:r>
    </w:p>
    <w:p w:rsidR="00417CD4" w:rsidRDefault="00417CD4" w:rsidP="00417CD4">
      <w:pPr>
        <w:pStyle w:val="Akapitzlist"/>
        <w:numPr>
          <w:ilvl w:val="0"/>
          <w:numId w:val="1"/>
        </w:numPr>
        <w:jc w:val="both"/>
      </w:pPr>
      <w:r w:rsidRPr="00717735">
        <w:t xml:space="preserve">Wnioskodawca musi mieć nadany </w:t>
      </w:r>
      <w:r w:rsidRPr="00417CD4">
        <w:rPr>
          <w:b/>
        </w:rPr>
        <w:t>numer identyfikacyjny</w:t>
      </w:r>
      <w:r w:rsidRPr="00717735">
        <w:t xml:space="preserve"> w trybie przepisów o krajowym systemie ewidencji producentów, ewidencji gospodarstw rolnych oraz ewidencji wniosków o przyznanie płatności, tzw. „numer identyfikacyjny” nadawany przez ARiMR.</w:t>
      </w:r>
    </w:p>
    <w:p w:rsidR="00344DAF" w:rsidRPr="003F7AA9" w:rsidRDefault="00417CD4" w:rsidP="003F7AA9">
      <w:pPr>
        <w:pStyle w:val="Akapitzlist"/>
        <w:numPr>
          <w:ilvl w:val="0"/>
          <w:numId w:val="1"/>
        </w:numPr>
        <w:jc w:val="both"/>
      </w:pPr>
      <w:r w:rsidRPr="00417CD4">
        <w:rPr>
          <w:b/>
        </w:rPr>
        <w:t>Ważne:</w:t>
      </w:r>
      <w:r>
        <w:t xml:space="preserve"> w przypadku, gdy operacja zakłada prace wymagające pozwolenia budowlanego/zgłoszenia zamiaru wykonania prac budowlanych – dokumenty te muszą zostać dołączone do wniosku na etapie jego składania.</w:t>
      </w:r>
    </w:p>
    <w:p w:rsidR="00E259D6" w:rsidRPr="00DF2E8A" w:rsidRDefault="00E259D6" w:rsidP="00DD54A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Forma pomocy: </w:t>
      </w:r>
      <w:r w:rsidR="00DF2E8A" w:rsidRPr="00DF2E8A">
        <w:t>refundacja do 65% kosztów kwalifikowalnych</w:t>
      </w:r>
      <w:r w:rsidR="00337B08">
        <w:t xml:space="preserve"> (do 70% w przypadku </w:t>
      </w:r>
      <w:r w:rsidR="00150F6E">
        <w:t xml:space="preserve">rozwijania działalności gospodarczej w ramach </w:t>
      </w:r>
      <w:r w:rsidR="00337B08">
        <w:t>preferowanych kodów PKD</w:t>
      </w:r>
      <w:r w:rsidR="00150F6E">
        <w:t xml:space="preserve">), co stanowi </w:t>
      </w:r>
      <w:r w:rsidR="00DF2E8A" w:rsidRPr="00DF2E8A">
        <w:t>ma</w:t>
      </w:r>
      <w:r w:rsidR="00150F6E">
        <w:t>x. 300 tys. zł</w:t>
      </w:r>
    </w:p>
    <w:p w:rsidR="00DF2E8A" w:rsidRDefault="00DF2E8A" w:rsidP="00DD54A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Minimalna wartość </w:t>
      </w:r>
      <w:r w:rsidR="0014069F">
        <w:rPr>
          <w:b/>
        </w:rPr>
        <w:t xml:space="preserve">kosztów całkowitych </w:t>
      </w:r>
      <w:r>
        <w:rPr>
          <w:b/>
        </w:rPr>
        <w:t xml:space="preserve">projektu: </w:t>
      </w:r>
      <w:r w:rsidRPr="00DF2E8A">
        <w:t>50 tys. zł</w:t>
      </w:r>
    </w:p>
    <w:p w:rsidR="00E259D6" w:rsidRDefault="00E259D6" w:rsidP="00E259D6">
      <w:pPr>
        <w:pStyle w:val="Akapitzlist"/>
        <w:numPr>
          <w:ilvl w:val="0"/>
          <w:numId w:val="1"/>
        </w:numPr>
        <w:jc w:val="both"/>
        <w:rPr>
          <w:b/>
        </w:rPr>
      </w:pPr>
      <w:r w:rsidRPr="00B36D22">
        <w:rPr>
          <w:b/>
        </w:rPr>
        <w:t>Projekty oceniane są na podstawie lokalny</w:t>
      </w:r>
      <w:r w:rsidR="00C377CA">
        <w:rPr>
          <w:b/>
        </w:rPr>
        <w:t xml:space="preserve">ch kryteriów wyboru </w:t>
      </w:r>
    </w:p>
    <w:p w:rsidR="00DD54AD" w:rsidRDefault="00DD54AD" w:rsidP="00DD54AD">
      <w:pPr>
        <w:pStyle w:val="Akapitzlist"/>
        <w:ind w:left="2160"/>
        <w:jc w:val="both"/>
      </w:pPr>
    </w:p>
    <w:p w:rsidR="003E24ED" w:rsidRDefault="003E24ED" w:rsidP="00DD54AD">
      <w:pPr>
        <w:pStyle w:val="Akapitzlist"/>
        <w:ind w:left="2160"/>
        <w:jc w:val="both"/>
      </w:pPr>
    </w:p>
    <w:p w:rsidR="00873C41" w:rsidRDefault="00AE5249" w:rsidP="00AE5249">
      <w:pPr>
        <w:pStyle w:val="Akapitzlist"/>
        <w:ind w:left="284" w:hanging="284"/>
        <w:jc w:val="both"/>
        <w:rPr>
          <w:b/>
          <w:color w:val="FF0000"/>
        </w:rPr>
      </w:pPr>
      <w:r>
        <w:rPr>
          <w:b/>
          <w:color w:val="FF0000"/>
        </w:rPr>
        <w:t>UWAGA!!!</w:t>
      </w:r>
    </w:p>
    <w:p w:rsidR="00AE5249" w:rsidRPr="00AE5249" w:rsidRDefault="00AE5249" w:rsidP="00AE5249">
      <w:pPr>
        <w:pStyle w:val="Akapitzlist"/>
        <w:ind w:left="284" w:hanging="284"/>
        <w:jc w:val="both"/>
        <w:rPr>
          <w:b/>
          <w:color w:val="FF0000"/>
        </w:rPr>
      </w:pPr>
    </w:p>
    <w:p w:rsidR="001C31D2" w:rsidRDefault="002D4689" w:rsidP="001C31D2">
      <w:pPr>
        <w:pStyle w:val="Akapitzlist"/>
        <w:numPr>
          <w:ilvl w:val="0"/>
          <w:numId w:val="8"/>
        </w:numPr>
        <w:jc w:val="both"/>
      </w:pPr>
      <w:r>
        <w:t xml:space="preserve">Kwestia </w:t>
      </w:r>
      <w:r w:rsidR="00F43DC9">
        <w:t>limitu na środki</w:t>
      </w:r>
      <w:r>
        <w:t xml:space="preserve"> transportu</w:t>
      </w:r>
    </w:p>
    <w:p w:rsidR="007F3FBB" w:rsidRDefault="00E037EB" w:rsidP="000E5E15">
      <w:pPr>
        <w:jc w:val="both"/>
      </w:pPr>
      <w:r>
        <w:t>W przypadku ujęcia w kosztach kwalifikowalnych kosztów zakupu środków transportu</w:t>
      </w:r>
      <w:r w:rsidR="00E12BAF">
        <w:t xml:space="preserve"> – obowiązuje limit w wysokości nie przekraczającej 30% pozostałych kosztów kwalifikowalnych pomniejszonych o koszty ogólne</w:t>
      </w:r>
      <w:r w:rsidR="00B25E1F">
        <w:t xml:space="preserve">. </w:t>
      </w:r>
      <w:r w:rsidR="00B25E1F" w:rsidRPr="00B25E1F">
        <w:t>Limit ten będzie ma</w:t>
      </w:r>
      <w:r w:rsidR="007F3FBB" w:rsidRPr="00B25E1F">
        <w:t xml:space="preserve"> zastosowanie tylko do środków transportu będących pojazdami silnikowymi w rozumieniu przepisów o prawie drogowym</w:t>
      </w:r>
      <w:r w:rsidR="000E5E15" w:rsidRPr="00B25E1F">
        <w:t>.</w:t>
      </w:r>
    </w:p>
    <w:p w:rsidR="000E5E15" w:rsidRDefault="000E5E15" w:rsidP="000E5E15">
      <w:pPr>
        <w:pStyle w:val="Akapitzlist"/>
        <w:numPr>
          <w:ilvl w:val="0"/>
          <w:numId w:val="8"/>
        </w:numPr>
        <w:jc w:val="both"/>
      </w:pPr>
      <w:r>
        <w:t xml:space="preserve">Kwestia </w:t>
      </w:r>
      <w:r w:rsidR="007E5C35">
        <w:t>możliwości realizacji biznesplanu przed podpisaniem umowy o dofinansowanie.</w:t>
      </w:r>
    </w:p>
    <w:p w:rsidR="007E5C35" w:rsidRPr="000E5E15" w:rsidRDefault="00572A92" w:rsidP="007E5C35">
      <w:pPr>
        <w:jc w:val="both"/>
      </w:pPr>
      <w:r>
        <w:t>Wnioskodawca może</w:t>
      </w:r>
      <w:r w:rsidR="007E5C35">
        <w:t xml:space="preserve"> </w:t>
      </w:r>
      <w:r w:rsidR="001667E7">
        <w:t xml:space="preserve">realizować operację </w:t>
      </w:r>
      <w:r w:rsidR="00B70013">
        <w:t xml:space="preserve">i ponosić koszty </w:t>
      </w:r>
      <w:r w:rsidR="006F74F7">
        <w:t xml:space="preserve">już </w:t>
      </w:r>
      <w:r w:rsidR="00B70013">
        <w:t>od momentu</w:t>
      </w:r>
      <w:r w:rsidR="001667E7">
        <w:t xml:space="preserve"> złożenia wniosku o prz</w:t>
      </w:r>
      <w:r w:rsidR="006F74F7">
        <w:t>yznanie pomocy w ramach naboru.</w:t>
      </w:r>
    </w:p>
    <w:p w:rsidR="004367D7" w:rsidRDefault="00006602" w:rsidP="00D01697">
      <w:pPr>
        <w:pStyle w:val="Akapitzlist"/>
        <w:ind w:left="0"/>
        <w:jc w:val="both"/>
      </w:pPr>
      <w:r>
        <w:t>Jednocześnie należy mieć na uwadze</w:t>
      </w:r>
      <w:r w:rsidR="00190A23">
        <w:t xml:space="preserve">, iż ponoszenie </w:t>
      </w:r>
      <w:r w:rsidR="00547484">
        <w:t>przez podmi</w:t>
      </w:r>
      <w:r w:rsidR="009E2298">
        <w:t xml:space="preserve">oty ubiegające się o przyznanie </w:t>
      </w:r>
      <w:r w:rsidR="00547484">
        <w:t>pomocy</w:t>
      </w:r>
      <w:r w:rsidR="009E2298">
        <w:t xml:space="preserve"> kosztów kwalifikowalnych  w związku z realizacją operacji po złożeniu wniosku, ale jeszcze przed podpisaniem umowy</w:t>
      </w:r>
      <w:r w:rsidR="006F74F7">
        <w:t xml:space="preserve"> o dofinansowanie z Zarządem Województwa</w:t>
      </w:r>
      <w:r w:rsidR="00B6710F">
        <w:t>, nie gwarantuje jej</w:t>
      </w:r>
      <w:r w:rsidR="00E4066F">
        <w:t xml:space="preserve"> podpisania. W związku z powyższym, w przypadku podjęcia decyzji o  rozpoczęciu realizacji operacji jeszcze przed podpisaniem umowy</w:t>
      </w:r>
      <w:r w:rsidR="00CB5ABA">
        <w:t>, podmioty ubiegające się o przyznanie pomocy będą musiały brać pod uwagę fakt, iż koszty ponoszone w związku z jej realizacją mogą nie zostać zrefundowane w przypadku</w:t>
      </w:r>
      <w:r w:rsidR="00D01697">
        <w:t xml:space="preserve"> nieobjęcia realizacji operacji wsparciem.</w:t>
      </w:r>
    </w:p>
    <w:p w:rsidR="0049231D" w:rsidRDefault="0049231D" w:rsidP="00D01697">
      <w:pPr>
        <w:pStyle w:val="Akapitzlist"/>
        <w:ind w:left="0"/>
        <w:jc w:val="both"/>
      </w:pPr>
    </w:p>
    <w:p w:rsidR="0049231D" w:rsidRDefault="0049231D" w:rsidP="0049231D">
      <w:pPr>
        <w:pStyle w:val="Akapitzlist"/>
        <w:ind w:left="284" w:hanging="284"/>
        <w:jc w:val="both"/>
      </w:pPr>
      <w:r>
        <w:t>Podstawa prawna:</w:t>
      </w:r>
    </w:p>
    <w:p w:rsidR="0049231D" w:rsidRPr="005E7BBE" w:rsidRDefault="00BE339D" w:rsidP="00BE339D">
      <w:pPr>
        <w:pStyle w:val="Akapitzlist"/>
        <w:numPr>
          <w:ilvl w:val="0"/>
          <w:numId w:val="9"/>
        </w:numPr>
        <w:spacing w:before="320" w:after="320"/>
        <w:jc w:val="both"/>
      </w:pPr>
      <w:r w:rsidRPr="00F72727">
        <w:t>Ustawa z dnia 20 lutego 2015 r. o rozwoju lokalnym z udziałem lokalnej społeczności</w:t>
      </w:r>
      <w:r>
        <w:t xml:space="preserve"> </w:t>
      </w:r>
      <w:r w:rsidRPr="0094150D">
        <w:t>(</w:t>
      </w:r>
      <w:proofErr w:type="spellStart"/>
      <w:r w:rsidRPr="0094150D">
        <w:t>T.j</w:t>
      </w:r>
      <w:proofErr w:type="spellEnd"/>
      <w:r w:rsidRPr="0094150D">
        <w:t>. Dz. U. z 2018 r. poz. 140; zm.: Dz. U. z 2018 r. poz. 1625.)</w:t>
      </w:r>
      <w:r>
        <w:t>;</w:t>
      </w:r>
      <w:bookmarkStart w:id="0" w:name="_GoBack"/>
      <w:bookmarkEnd w:id="0"/>
    </w:p>
    <w:p w:rsidR="00572A92" w:rsidRPr="00F72727" w:rsidRDefault="00572A92" w:rsidP="00572A92">
      <w:pPr>
        <w:numPr>
          <w:ilvl w:val="0"/>
          <w:numId w:val="9"/>
        </w:numPr>
        <w:spacing w:after="120" w:line="276" w:lineRule="auto"/>
        <w:ind w:left="714" w:hanging="357"/>
        <w:jc w:val="both"/>
      </w:pPr>
      <w:r w:rsidRPr="00F72727"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F72727">
        <w:t>T.j</w:t>
      </w:r>
      <w:proofErr w:type="spellEnd"/>
      <w:r w:rsidRPr="00F72727">
        <w:t>. Dz. U. z 2019 r. poz. 664; zm.: Dz. U. z 2019 r. poz. 2023 oraz z 2020 r. poz. 1555.);</w:t>
      </w:r>
    </w:p>
    <w:p w:rsidR="00572A92" w:rsidRPr="00F72727" w:rsidRDefault="00572A92" w:rsidP="00572A92">
      <w:pPr>
        <w:numPr>
          <w:ilvl w:val="0"/>
          <w:numId w:val="9"/>
        </w:numPr>
        <w:spacing w:after="120" w:line="276" w:lineRule="auto"/>
        <w:ind w:left="714" w:hanging="357"/>
        <w:jc w:val="both"/>
      </w:pPr>
      <w:r w:rsidRPr="00F72727">
        <w:t xml:space="preserve">Wytyczne Ministra Rolnictwa i Rozwoju Wsi nr 7/1/2020 w zakresie jednolitego i prawidłowego wykonywania przez lokalne grupy działania zadań związanych z realizacją </w:t>
      </w:r>
      <w:r w:rsidRPr="00F72727">
        <w:lastRenderedPageBreak/>
        <w:t>strategii rozwoju lokalnego kierowanego przez społeczność w ramach działania „Wsparcie dla rozwoju lokalnego w ramach inicjatywy LEADER” objętego Programem Rozwoju Obszarów Wiejskich na lata 2014-2020, listopad 2020 r.</w:t>
      </w:r>
    </w:p>
    <w:p w:rsidR="0049231D" w:rsidRPr="00CD600F" w:rsidRDefault="0049231D" w:rsidP="00D01697">
      <w:pPr>
        <w:pStyle w:val="Akapitzlist"/>
        <w:ind w:left="0"/>
        <w:jc w:val="both"/>
      </w:pPr>
    </w:p>
    <w:sectPr w:rsidR="0049231D" w:rsidRPr="00CD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D20"/>
    <w:multiLevelType w:val="hybridMultilevel"/>
    <w:tmpl w:val="9B9A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5B8"/>
    <w:multiLevelType w:val="hybridMultilevel"/>
    <w:tmpl w:val="D5582C2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9748B"/>
    <w:multiLevelType w:val="hybridMultilevel"/>
    <w:tmpl w:val="0C1CE5F2"/>
    <w:lvl w:ilvl="0" w:tplc="2CB45D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95A19"/>
    <w:multiLevelType w:val="hybridMultilevel"/>
    <w:tmpl w:val="50B46F40"/>
    <w:lvl w:ilvl="0" w:tplc="48DA480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51669F"/>
    <w:multiLevelType w:val="hybridMultilevel"/>
    <w:tmpl w:val="443C47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A13F9F"/>
    <w:multiLevelType w:val="hybridMultilevel"/>
    <w:tmpl w:val="5F9A2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11E06"/>
    <w:multiLevelType w:val="hybridMultilevel"/>
    <w:tmpl w:val="4C6C2FF8"/>
    <w:lvl w:ilvl="0" w:tplc="FF98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33E8D"/>
    <w:multiLevelType w:val="hybridMultilevel"/>
    <w:tmpl w:val="17FC8094"/>
    <w:lvl w:ilvl="0" w:tplc="7AD6FE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53F77"/>
    <w:multiLevelType w:val="hybridMultilevel"/>
    <w:tmpl w:val="2762207A"/>
    <w:lvl w:ilvl="0" w:tplc="650CE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7"/>
    <w:rsid w:val="00006602"/>
    <w:rsid w:val="00012401"/>
    <w:rsid w:val="00013A2F"/>
    <w:rsid w:val="000215DC"/>
    <w:rsid w:val="00041694"/>
    <w:rsid w:val="00056081"/>
    <w:rsid w:val="00062F01"/>
    <w:rsid w:val="0007256F"/>
    <w:rsid w:val="0007580F"/>
    <w:rsid w:val="00086E4E"/>
    <w:rsid w:val="000A2C02"/>
    <w:rsid w:val="000A5AA6"/>
    <w:rsid w:val="000C02E2"/>
    <w:rsid w:val="000E5BFB"/>
    <w:rsid w:val="000E5E15"/>
    <w:rsid w:val="00117A18"/>
    <w:rsid w:val="00131CCB"/>
    <w:rsid w:val="0014069F"/>
    <w:rsid w:val="00140F92"/>
    <w:rsid w:val="00146DB1"/>
    <w:rsid w:val="00150B70"/>
    <w:rsid w:val="00150F6E"/>
    <w:rsid w:val="00152BBD"/>
    <w:rsid w:val="001610AB"/>
    <w:rsid w:val="001667E7"/>
    <w:rsid w:val="001667FF"/>
    <w:rsid w:val="00172139"/>
    <w:rsid w:val="001752BC"/>
    <w:rsid w:val="00177899"/>
    <w:rsid w:val="001810A8"/>
    <w:rsid w:val="00181CCE"/>
    <w:rsid w:val="00190A23"/>
    <w:rsid w:val="001B4089"/>
    <w:rsid w:val="001B6480"/>
    <w:rsid w:val="001C0083"/>
    <w:rsid w:val="001C31D2"/>
    <w:rsid w:val="001C3B4A"/>
    <w:rsid w:val="001C4F29"/>
    <w:rsid w:val="001C54C5"/>
    <w:rsid w:val="001D5FE3"/>
    <w:rsid w:val="002059F4"/>
    <w:rsid w:val="00214CA9"/>
    <w:rsid w:val="00221005"/>
    <w:rsid w:val="002210D0"/>
    <w:rsid w:val="00244EC4"/>
    <w:rsid w:val="00257F32"/>
    <w:rsid w:val="0027302F"/>
    <w:rsid w:val="002A2799"/>
    <w:rsid w:val="002A5CBF"/>
    <w:rsid w:val="002A7010"/>
    <w:rsid w:val="002D0B13"/>
    <w:rsid w:val="002D428B"/>
    <w:rsid w:val="002D4689"/>
    <w:rsid w:val="002F0213"/>
    <w:rsid w:val="002F701C"/>
    <w:rsid w:val="00303E37"/>
    <w:rsid w:val="003065CB"/>
    <w:rsid w:val="00324970"/>
    <w:rsid w:val="0033282B"/>
    <w:rsid w:val="00336D39"/>
    <w:rsid w:val="00337B08"/>
    <w:rsid w:val="00344DAF"/>
    <w:rsid w:val="003476C3"/>
    <w:rsid w:val="00352CDD"/>
    <w:rsid w:val="003C78F3"/>
    <w:rsid w:val="003E24ED"/>
    <w:rsid w:val="003F7AA9"/>
    <w:rsid w:val="004136EF"/>
    <w:rsid w:val="00417CD4"/>
    <w:rsid w:val="004367D7"/>
    <w:rsid w:val="004442C0"/>
    <w:rsid w:val="004557E9"/>
    <w:rsid w:val="0045730C"/>
    <w:rsid w:val="00462CE7"/>
    <w:rsid w:val="00466919"/>
    <w:rsid w:val="00475B42"/>
    <w:rsid w:val="004912DD"/>
    <w:rsid w:val="0049231D"/>
    <w:rsid w:val="004B2731"/>
    <w:rsid w:val="004D33F4"/>
    <w:rsid w:val="004D5AAA"/>
    <w:rsid w:val="004F34CE"/>
    <w:rsid w:val="005032A7"/>
    <w:rsid w:val="005210B2"/>
    <w:rsid w:val="00547272"/>
    <w:rsid w:val="00547484"/>
    <w:rsid w:val="00572A92"/>
    <w:rsid w:val="00577B54"/>
    <w:rsid w:val="00583801"/>
    <w:rsid w:val="005845AB"/>
    <w:rsid w:val="00594495"/>
    <w:rsid w:val="005C0A49"/>
    <w:rsid w:val="005C657E"/>
    <w:rsid w:val="005F2FB7"/>
    <w:rsid w:val="00602EC7"/>
    <w:rsid w:val="00640567"/>
    <w:rsid w:val="00641960"/>
    <w:rsid w:val="00645738"/>
    <w:rsid w:val="00645E30"/>
    <w:rsid w:val="00671D04"/>
    <w:rsid w:val="006772C6"/>
    <w:rsid w:val="00677F5F"/>
    <w:rsid w:val="00682AD2"/>
    <w:rsid w:val="006B26C3"/>
    <w:rsid w:val="006C6529"/>
    <w:rsid w:val="006D1747"/>
    <w:rsid w:val="006D55A4"/>
    <w:rsid w:val="006E009B"/>
    <w:rsid w:val="006F74F7"/>
    <w:rsid w:val="00717735"/>
    <w:rsid w:val="00717958"/>
    <w:rsid w:val="00720400"/>
    <w:rsid w:val="0073250B"/>
    <w:rsid w:val="00733A8D"/>
    <w:rsid w:val="00753AF3"/>
    <w:rsid w:val="00762286"/>
    <w:rsid w:val="00765AE3"/>
    <w:rsid w:val="00770636"/>
    <w:rsid w:val="007730B4"/>
    <w:rsid w:val="00773C41"/>
    <w:rsid w:val="007942DE"/>
    <w:rsid w:val="007B7393"/>
    <w:rsid w:val="007D0BA7"/>
    <w:rsid w:val="007D31F3"/>
    <w:rsid w:val="007D33C8"/>
    <w:rsid w:val="007E5C35"/>
    <w:rsid w:val="007F124A"/>
    <w:rsid w:val="007F1A67"/>
    <w:rsid w:val="007F3C6B"/>
    <w:rsid w:val="007F3FBB"/>
    <w:rsid w:val="00810E8B"/>
    <w:rsid w:val="008144FA"/>
    <w:rsid w:val="00860210"/>
    <w:rsid w:val="0087074F"/>
    <w:rsid w:val="00873C41"/>
    <w:rsid w:val="00876C9F"/>
    <w:rsid w:val="008B7FFD"/>
    <w:rsid w:val="00900DB1"/>
    <w:rsid w:val="00905D5A"/>
    <w:rsid w:val="00915080"/>
    <w:rsid w:val="009333AB"/>
    <w:rsid w:val="00956CA2"/>
    <w:rsid w:val="009B6E0B"/>
    <w:rsid w:val="009E209D"/>
    <w:rsid w:val="009E2298"/>
    <w:rsid w:val="009F3878"/>
    <w:rsid w:val="00A100F4"/>
    <w:rsid w:val="00A247C7"/>
    <w:rsid w:val="00A358E7"/>
    <w:rsid w:val="00A437DB"/>
    <w:rsid w:val="00A5748D"/>
    <w:rsid w:val="00A6280F"/>
    <w:rsid w:val="00A7711A"/>
    <w:rsid w:val="00A8133C"/>
    <w:rsid w:val="00AC143A"/>
    <w:rsid w:val="00AC5DFA"/>
    <w:rsid w:val="00AD202A"/>
    <w:rsid w:val="00AE520E"/>
    <w:rsid w:val="00AE5249"/>
    <w:rsid w:val="00B25E1F"/>
    <w:rsid w:val="00B32ED1"/>
    <w:rsid w:val="00B36D22"/>
    <w:rsid w:val="00B6710F"/>
    <w:rsid w:val="00B70013"/>
    <w:rsid w:val="00B75ADB"/>
    <w:rsid w:val="00BB7001"/>
    <w:rsid w:val="00BD7E8C"/>
    <w:rsid w:val="00BE339D"/>
    <w:rsid w:val="00BF0283"/>
    <w:rsid w:val="00C022F6"/>
    <w:rsid w:val="00C17B99"/>
    <w:rsid w:val="00C20A12"/>
    <w:rsid w:val="00C377CA"/>
    <w:rsid w:val="00C42DA8"/>
    <w:rsid w:val="00C53BE9"/>
    <w:rsid w:val="00C5511B"/>
    <w:rsid w:val="00C81B69"/>
    <w:rsid w:val="00CA50D3"/>
    <w:rsid w:val="00CB5ABA"/>
    <w:rsid w:val="00CC08F5"/>
    <w:rsid w:val="00CC799C"/>
    <w:rsid w:val="00CD2EA4"/>
    <w:rsid w:val="00CD600F"/>
    <w:rsid w:val="00CF2BED"/>
    <w:rsid w:val="00D01697"/>
    <w:rsid w:val="00D02E7B"/>
    <w:rsid w:val="00D42472"/>
    <w:rsid w:val="00D47017"/>
    <w:rsid w:val="00DB2B91"/>
    <w:rsid w:val="00DB7E48"/>
    <w:rsid w:val="00DD54AD"/>
    <w:rsid w:val="00DD70BA"/>
    <w:rsid w:val="00DF2E8A"/>
    <w:rsid w:val="00E037EB"/>
    <w:rsid w:val="00E04417"/>
    <w:rsid w:val="00E07009"/>
    <w:rsid w:val="00E12BAF"/>
    <w:rsid w:val="00E259D6"/>
    <w:rsid w:val="00E30050"/>
    <w:rsid w:val="00E4066F"/>
    <w:rsid w:val="00E407D0"/>
    <w:rsid w:val="00E524D5"/>
    <w:rsid w:val="00E54683"/>
    <w:rsid w:val="00E61318"/>
    <w:rsid w:val="00E83536"/>
    <w:rsid w:val="00E963E0"/>
    <w:rsid w:val="00E97FA3"/>
    <w:rsid w:val="00EB3DC1"/>
    <w:rsid w:val="00EC214E"/>
    <w:rsid w:val="00ED4C7A"/>
    <w:rsid w:val="00ED4D4E"/>
    <w:rsid w:val="00EF147F"/>
    <w:rsid w:val="00EF4769"/>
    <w:rsid w:val="00F155CA"/>
    <w:rsid w:val="00F32FCC"/>
    <w:rsid w:val="00F43DC9"/>
    <w:rsid w:val="00F8072A"/>
    <w:rsid w:val="00F872EB"/>
    <w:rsid w:val="00F9605E"/>
    <w:rsid w:val="00FA053B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62C1-37F0-4A81-B402-AAA995AE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6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D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3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 Widawa</dc:creator>
  <cp:keywords/>
  <dc:description/>
  <cp:lastModifiedBy>Dobra Widawa</cp:lastModifiedBy>
  <cp:revision>6</cp:revision>
  <cp:lastPrinted>2019-07-24T06:23:00Z</cp:lastPrinted>
  <dcterms:created xsi:type="dcterms:W3CDTF">2019-07-18T06:52:00Z</dcterms:created>
  <dcterms:modified xsi:type="dcterms:W3CDTF">2021-03-25T12:47:00Z</dcterms:modified>
</cp:coreProperties>
</file>