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FF" w:rsidRPr="00CD628A" w:rsidRDefault="009055F5" w:rsidP="00FD1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28A">
        <w:rPr>
          <w:rFonts w:ascii="Times New Roman" w:hAnsi="Times New Roman" w:cs="Times New Roman"/>
          <w:b/>
          <w:sz w:val="24"/>
          <w:szCs w:val="24"/>
        </w:rPr>
        <w:t>LOKALNE KRYTERIA WYBORU DLA OPERACJI KONKURSOWYCH</w:t>
      </w:r>
    </w:p>
    <w:p w:rsidR="007A7468" w:rsidRDefault="00CF6C6C" w:rsidP="0081582C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BUDOWA LUB PRZEBUDOWA OGÓLNODOSTĘPNEJ NIEKOMERCYJNEJ INFRASTRUKTURY TURYSTYCZNEJ LUB REKREACYJNEJ LUB KULTURALNEJ </w:t>
      </w:r>
    </w:p>
    <w:p w:rsidR="009055F5" w:rsidRDefault="009055F5" w:rsidP="0081582C">
      <w:pPr>
        <w:jc w:val="center"/>
        <w:rPr>
          <w:rFonts w:ascii="Times New Roman" w:hAnsi="Times New Roman" w:cs="Times New Roman"/>
          <w:b/>
        </w:rPr>
      </w:pPr>
      <w:r w:rsidRPr="00CD628A">
        <w:rPr>
          <w:rFonts w:ascii="Times New Roman" w:hAnsi="Times New Roman" w:cs="Times New Roman"/>
          <w:b/>
          <w:u w:val="single"/>
        </w:rPr>
        <w:t>Przedsięwzięcie I</w:t>
      </w:r>
      <w:r w:rsidRPr="00CD628A">
        <w:rPr>
          <w:rFonts w:ascii="Times New Roman" w:hAnsi="Times New Roman" w:cs="Times New Roman"/>
          <w:b/>
        </w:rPr>
        <w:t xml:space="preserve"> „</w:t>
      </w:r>
      <w:r w:rsidRPr="00CD628A">
        <w:rPr>
          <w:rFonts w:ascii="Times New Roman" w:hAnsi="Times New Roman" w:cs="Times New Roman"/>
          <w:b/>
          <w:i/>
        </w:rPr>
        <w:t xml:space="preserve">Dobra Widawa </w:t>
      </w:r>
      <w:r w:rsidRPr="00CD628A">
        <w:rPr>
          <w:rFonts w:ascii="Times New Roman" w:hAnsi="Times New Roman" w:cs="Times New Roman"/>
          <w:b/>
        </w:rPr>
        <w:t>– miejsce atrakcyjnego i smacznego wypoczynku</w:t>
      </w:r>
      <w:r w:rsidR="00FD1B77" w:rsidRPr="00CD628A">
        <w:rPr>
          <w:rFonts w:ascii="Times New Roman" w:hAnsi="Times New Roman" w:cs="Times New Roman"/>
          <w:b/>
        </w:rPr>
        <w:t>”</w:t>
      </w:r>
    </w:p>
    <w:p w:rsidR="00ED4874" w:rsidRPr="00CD628A" w:rsidRDefault="00ED4874" w:rsidP="0081582C">
      <w:pPr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14029" w:type="dxa"/>
        <w:tblLayout w:type="fixed"/>
        <w:tblLook w:val="04A0"/>
      </w:tblPr>
      <w:tblGrid>
        <w:gridCol w:w="1555"/>
        <w:gridCol w:w="4677"/>
        <w:gridCol w:w="4395"/>
        <w:gridCol w:w="850"/>
        <w:gridCol w:w="2552"/>
      </w:tblGrid>
      <w:tr w:rsidR="000D0662" w:rsidRPr="000D0662" w:rsidTr="00ED4874">
        <w:trPr>
          <w:trHeight w:val="376"/>
        </w:trPr>
        <w:tc>
          <w:tcPr>
            <w:tcW w:w="1555" w:type="dxa"/>
            <w:vAlign w:val="center"/>
          </w:tcPr>
          <w:p w:rsidR="000D0662" w:rsidRPr="004229A8" w:rsidRDefault="000D0662" w:rsidP="002C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A8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4677" w:type="dxa"/>
            <w:vAlign w:val="center"/>
          </w:tcPr>
          <w:p w:rsidR="000D0662" w:rsidRPr="00CE3DF9" w:rsidRDefault="000D0662" w:rsidP="002C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DF9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4395" w:type="dxa"/>
            <w:vAlign w:val="center"/>
          </w:tcPr>
          <w:p w:rsidR="000D0662" w:rsidRPr="00CE3DF9" w:rsidRDefault="000D0662" w:rsidP="002C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DF9">
              <w:rPr>
                <w:rFonts w:ascii="Times New Roman" w:hAnsi="Times New Roman" w:cs="Times New Roman"/>
                <w:b/>
                <w:sz w:val="20"/>
                <w:szCs w:val="20"/>
              </w:rPr>
              <w:t>Zasady punktacji</w:t>
            </w:r>
          </w:p>
        </w:tc>
        <w:tc>
          <w:tcPr>
            <w:tcW w:w="850" w:type="dxa"/>
            <w:vAlign w:val="center"/>
          </w:tcPr>
          <w:p w:rsidR="000D0662" w:rsidRPr="00CE3DF9" w:rsidRDefault="000D0662" w:rsidP="004C0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DF9">
              <w:rPr>
                <w:rFonts w:ascii="Times New Roman" w:hAnsi="Times New Roman" w:cs="Times New Roman"/>
                <w:b/>
                <w:sz w:val="20"/>
                <w:szCs w:val="20"/>
              </w:rPr>
              <w:t>Punkty</w:t>
            </w:r>
          </w:p>
        </w:tc>
        <w:tc>
          <w:tcPr>
            <w:tcW w:w="2552" w:type="dxa"/>
            <w:vAlign w:val="center"/>
          </w:tcPr>
          <w:p w:rsidR="000D0662" w:rsidRPr="00CE3DF9" w:rsidRDefault="000D0662" w:rsidP="004C0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DF9">
              <w:rPr>
                <w:rFonts w:ascii="Times New Roman" w:hAnsi="Times New Roman" w:cs="Times New Roman"/>
                <w:b/>
                <w:sz w:val="20"/>
                <w:szCs w:val="20"/>
              </w:rPr>
              <w:t>Sposób weryfikacji</w:t>
            </w:r>
          </w:p>
        </w:tc>
      </w:tr>
      <w:tr w:rsidR="000D0662" w:rsidRPr="000D0662" w:rsidTr="004C073E">
        <w:trPr>
          <w:trHeight w:val="274"/>
        </w:trPr>
        <w:tc>
          <w:tcPr>
            <w:tcW w:w="1555" w:type="dxa"/>
            <w:vMerge w:val="restart"/>
            <w:vAlign w:val="center"/>
          </w:tcPr>
          <w:p w:rsidR="000D0662" w:rsidRPr="004229A8" w:rsidRDefault="000D0662" w:rsidP="002C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A8">
              <w:rPr>
                <w:rFonts w:ascii="Times New Roman" w:hAnsi="Times New Roman" w:cs="Times New Roman"/>
                <w:b/>
                <w:sz w:val="20"/>
                <w:szCs w:val="20"/>
              </w:rPr>
              <w:t>Innowac</w:t>
            </w:r>
            <w:r w:rsidR="006632E6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4229A8">
              <w:rPr>
                <w:rFonts w:ascii="Times New Roman" w:hAnsi="Times New Roman" w:cs="Times New Roman"/>
                <w:b/>
                <w:sz w:val="20"/>
                <w:szCs w:val="20"/>
              </w:rPr>
              <w:t>jność</w:t>
            </w:r>
          </w:p>
        </w:tc>
        <w:tc>
          <w:tcPr>
            <w:tcW w:w="4677" w:type="dxa"/>
            <w:vMerge w:val="restart"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Preferuje operacje innowacyjne, niespotykane w skali obszaru objętego strategią (LGD) tj. wykorzystujące niepraktykowane dotąd zastosowania zasobów i rozwiązań, wykorzystania nowych metod</w:t>
            </w:r>
          </w:p>
        </w:tc>
        <w:tc>
          <w:tcPr>
            <w:tcW w:w="4395" w:type="dxa"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Ma charakter innowacyjny w skali całego obszaru</w:t>
            </w:r>
          </w:p>
        </w:tc>
        <w:tc>
          <w:tcPr>
            <w:tcW w:w="850" w:type="dxa"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</w:t>
            </w:r>
            <w:r w:rsidR="004229A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artych we wniosku</w:t>
            </w:r>
          </w:p>
        </w:tc>
      </w:tr>
      <w:tr w:rsidR="000D0662" w:rsidRPr="000D0662" w:rsidTr="004C073E">
        <w:trPr>
          <w:trHeight w:val="575"/>
        </w:trPr>
        <w:tc>
          <w:tcPr>
            <w:tcW w:w="1555" w:type="dxa"/>
            <w:vMerge/>
            <w:vAlign w:val="center"/>
          </w:tcPr>
          <w:p w:rsidR="000D0662" w:rsidRPr="004229A8" w:rsidRDefault="000D0662" w:rsidP="002C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Ma charakter innowacyjny w skali gminy, na terenie której realizowany będzie projekt</w:t>
            </w:r>
          </w:p>
        </w:tc>
        <w:tc>
          <w:tcPr>
            <w:tcW w:w="850" w:type="dxa"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62" w:rsidRPr="000D0662" w:rsidTr="004C073E">
        <w:trPr>
          <w:trHeight w:val="284"/>
        </w:trPr>
        <w:tc>
          <w:tcPr>
            <w:tcW w:w="1555" w:type="dxa"/>
            <w:vMerge/>
            <w:vAlign w:val="center"/>
          </w:tcPr>
          <w:p w:rsidR="000D0662" w:rsidRPr="004229A8" w:rsidRDefault="000D0662" w:rsidP="002C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4229A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a charakteru innowacyjnego</w:t>
            </w:r>
          </w:p>
        </w:tc>
        <w:tc>
          <w:tcPr>
            <w:tcW w:w="850" w:type="dxa"/>
            <w:vAlign w:val="center"/>
          </w:tcPr>
          <w:p w:rsidR="000D0662" w:rsidRPr="000D0662" w:rsidRDefault="00E5664B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vMerge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62" w:rsidRPr="000D0662" w:rsidTr="004C073E">
        <w:trPr>
          <w:trHeight w:val="794"/>
        </w:trPr>
        <w:tc>
          <w:tcPr>
            <w:tcW w:w="1555" w:type="dxa"/>
            <w:vMerge w:val="restart"/>
            <w:vAlign w:val="center"/>
          </w:tcPr>
          <w:p w:rsidR="000D0662" w:rsidRPr="004229A8" w:rsidRDefault="000D0662" w:rsidP="002C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A8">
              <w:rPr>
                <w:rFonts w:ascii="Times New Roman" w:hAnsi="Times New Roman" w:cs="Times New Roman"/>
                <w:b/>
                <w:sz w:val="20"/>
                <w:szCs w:val="20"/>
              </w:rPr>
              <w:t>Zastosowanie rozwiązań sprzyjających ochronie środowiska lub klimatu</w:t>
            </w:r>
          </w:p>
        </w:tc>
        <w:tc>
          <w:tcPr>
            <w:tcW w:w="4677" w:type="dxa"/>
            <w:vMerge w:val="restart"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Preferuje operacje, podczas realizacji których zastosowane zostaną rozwiązania sprzyjające ochronie środowiska lub klimatu. W przypadku operacji inwestycyjnych to może być zastosowanie bardziej ekologicznych materiałów lub technologii, przeprowadzenie oceny oddziaływania na środowisko planowanej inwestycji</w:t>
            </w:r>
          </w:p>
        </w:tc>
        <w:tc>
          <w:tcPr>
            <w:tcW w:w="4395" w:type="dxa"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Stosuje rozwiązania sprzyjające ochronie środowiska lub klimatu</w:t>
            </w:r>
          </w:p>
        </w:tc>
        <w:tc>
          <w:tcPr>
            <w:tcW w:w="850" w:type="dxa"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D0662" w:rsidRPr="000D0662" w:rsidTr="004C073E">
        <w:trPr>
          <w:trHeight w:val="794"/>
        </w:trPr>
        <w:tc>
          <w:tcPr>
            <w:tcW w:w="1555" w:type="dxa"/>
            <w:vMerge/>
            <w:vAlign w:val="center"/>
          </w:tcPr>
          <w:p w:rsidR="000D0662" w:rsidRPr="004229A8" w:rsidRDefault="000D0662" w:rsidP="002C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Nie stosuje rozwiązań sprzyjających ochronie środowiska lub klimatu</w:t>
            </w:r>
          </w:p>
        </w:tc>
        <w:tc>
          <w:tcPr>
            <w:tcW w:w="850" w:type="dxa"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vMerge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62" w:rsidRPr="000D0662" w:rsidTr="004C073E">
        <w:trPr>
          <w:trHeight w:val="567"/>
        </w:trPr>
        <w:tc>
          <w:tcPr>
            <w:tcW w:w="1555" w:type="dxa"/>
            <w:vMerge w:val="restart"/>
            <w:vAlign w:val="center"/>
          </w:tcPr>
          <w:p w:rsidR="000D0662" w:rsidRPr="004229A8" w:rsidRDefault="000D0662" w:rsidP="002C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A8">
              <w:rPr>
                <w:rFonts w:ascii="Times New Roman" w:hAnsi="Times New Roman" w:cs="Times New Roman"/>
                <w:b/>
                <w:sz w:val="20"/>
                <w:szCs w:val="20"/>
              </w:rPr>
              <w:t>Obszar realizacji</w:t>
            </w:r>
          </w:p>
        </w:tc>
        <w:tc>
          <w:tcPr>
            <w:tcW w:w="4677" w:type="dxa"/>
            <w:vMerge w:val="restart"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Preferuje operacje z zakresu infrastruktury turystycznej i rekreacyjnej, które realizowane będą na obszarze miejscowości do 5 tys. mieszkańców</w:t>
            </w:r>
          </w:p>
        </w:tc>
        <w:tc>
          <w:tcPr>
            <w:tcW w:w="4395" w:type="dxa"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Operacja realizowana wyłącznie na obszarze miejscowości do 5 tys. mieszkańców</w:t>
            </w:r>
          </w:p>
        </w:tc>
        <w:tc>
          <w:tcPr>
            <w:tcW w:w="850" w:type="dxa"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D0662" w:rsidRPr="000D0662" w:rsidTr="004C073E">
        <w:trPr>
          <w:trHeight w:val="567"/>
        </w:trPr>
        <w:tc>
          <w:tcPr>
            <w:tcW w:w="1555" w:type="dxa"/>
            <w:vMerge/>
            <w:vAlign w:val="center"/>
          </w:tcPr>
          <w:p w:rsidR="000D0662" w:rsidRPr="004229A8" w:rsidRDefault="000D0662" w:rsidP="002C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Operacja realizowana w całości lub w części na obszarze miejscowości powyżej 5 tys. mieszkańców</w:t>
            </w:r>
          </w:p>
        </w:tc>
        <w:tc>
          <w:tcPr>
            <w:tcW w:w="850" w:type="dxa"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vMerge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62" w:rsidRPr="000D0662" w:rsidTr="004C073E">
        <w:trPr>
          <w:trHeight w:val="964"/>
        </w:trPr>
        <w:tc>
          <w:tcPr>
            <w:tcW w:w="1555" w:type="dxa"/>
            <w:vMerge w:val="restart"/>
            <w:vAlign w:val="center"/>
          </w:tcPr>
          <w:p w:rsidR="000D0662" w:rsidRPr="004229A8" w:rsidRDefault="000D0662" w:rsidP="002C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A8">
              <w:rPr>
                <w:rFonts w:ascii="Times New Roman" w:hAnsi="Times New Roman" w:cs="Times New Roman"/>
                <w:b/>
                <w:sz w:val="20"/>
                <w:szCs w:val="20"/>
              </w:rPr>
              <w:t>Powiązanie z innymi projektami</w:t>
            </w:r>
          </w:p>
        </w:tc>
        <w:tc>
          <w:tcPr>
            <w:tcW w:w="4677" w:type="dxa"/>
            <w:vMerge w:val="restart"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Preferuje operacje powiązane z innymi realizowanymi projektami.</w:t>
            </w:r>
          </w:p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Przez powiązanie rozumie się udokumentowanie powiązania z projektami zrealizowanymi (szczególnie w ramach PROW 2007-2013) lub</w:t>
            </w:r>
            <w:r w:rsidR="00C41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będących w trakcie realizacji, w szczególności w ramach RLKSu (Rozwoju Lokalnego Kierowanego przez Społeczność)</w:t>
            </w:r>
            <w:r w:rsidR="00C41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C41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udokumentowanie współpracy z innymi sektorami (w realizacji planowanego projektu)</w:t>
            </w:r>
          </w:p>
        </w:tc>
        <w:tc>
          <w:tcPr>
            <w:tcW w:w="4395" w:type="dxa"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Realizacja operacji powiązana jest z co najmniej jednym komplementarnym projektem innego podmiotu i planuje współpracę międzysektorową</w:t>
            </w:r>
          </w:p>
        </w:tc>
        <w:tc>
          <w:tcPr>
            <w:tcW w:w="850" w:type="dxa"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D0662" w:rsidRPr="000D0662" w:rsidTr="004C073E">
        <w:trPr>
          <w:trHeight w:val="737"/>
        </w:trPr>
        <w:tc>
          <w:tcPr>
            <w:tcW w:w="1555" w:type="dxa"/>
            <w:vMerge/>
            <w:vAlign w:val="center"/>
          </w:tcPr>
          <w:p w:rsidR="000D0662" w:rsidRPr="004229A8" w:rsidRDefault="000D0662" w:rsidP="002C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Realizacja operacji powiązana jest z jednym komplementarnym projektem innego podmiotu</w:t>
            </w:r>
          </w:p>
        </w:tc>
        <w:tc>
          <w:tcPr>
            <w:tcW w:w="850" w:type="dxa"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62" w:rsidRPr="000D0662" w:rsidTr="004C073E">
        <w:trPr>
          <w:trHeight w:val="284"/>
        </w:trPr>
        <w:tc>
          <w:tcPr>
            <w:tcW w:w="1555" w:type="dxa"/>
            <w:vMerge/>
            <w:vAlign w:val="center"/>
          </w:tcPr>
          <w:p w:rsidR="000D0662" w:rsidRPr="004229A8" w:rsidRDefault="000D0662" w:rsidP="002C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Bez powiązań</w:t>
            </w:r>
          </w:p>
        </w:tc>
        <w:tc>
          <w:tcPr>
            <w:tcW w:w="850" w:type="dxa"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vMerge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62" w:rsidRPr="000D0662" w:rsidTr="004C073E">
        <w:trPr>
          <w:trHeight w:val="625"/>
        </w:trPr>
        <w:tc>
          <w:tcPr>
            <w:tcW w:w="1555" w:type="dxa"/>
            <w:vMerge w:val="restart"/>
            <w:vAlign w:val="center"/>
          </w:tcPr>
          <w:p w:rsidR="000D0662" w:rsidRPr="004229A8" w:rsidRDefault="000D0662" w:rsidP="002C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Wykorzystanie lokalnych zasobów</w:t>
            </w:r>
          </w:p>
        </w:tc>
        <w:tc>
          <w:tcPr>
            <w:tcW w:w="4677" w:type="dxa"/>
            <w:vMerge w:val="restart"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Preferuje operacje, które zachowują i bazują na lokalnym potencjale:</w:t>
            </w:r>
          </w:p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- kulturalnym (np. tradycje i obrzędy, legendy, tradycyjne zawody, zespoły ludowe, etc.),</w:t>
            </w:r>
          </w:p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- historycznym (np. zabytki, fakty i przekazy historyczne, etc.),</w:t>
            </w:r>
          </w:p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- przyrodniczym (charakterystyczna dla obszaru flora i fauna, w tym gatunki i obszary chronione)</w:t>
            </w:r>
          </w:p>
        </w:tc>
        <w:tc>
          <w:tcPr>
            <w:tcW w:w="4395" w:type="dxa"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Realizacja projektu bazuje lub służy zachowaniu przynajmniej dwóch ze wskazanych potencjałów, tj. kulturalnego, historycznego oraz przyrodniczego</w:t>
            </w:r>
          </w:p>
        </w:tc>
        <w:tc>
          <w:tcPr>
            <w:tcW w:w="850" w:type="dxa"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D0662" w:rsidRPr="000D0662" w:rsidTr="004C073E">
        <w:trPr>
          <w:trHeight w:val="625"/>
        </w:trPr>
        <w:tc>
          <w:tcPr>
            <w:tcW w:w="1555" w:type="dxa"/>
            <w:vMerge/>
            <w:vAlign w:val="center"/>
          </w:tcPr>
          <w:p w:rsidR="000D0662" w:rsidRPr="004229A8" w:rsidRDefault="000D0662" w:rsidP="002C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Realizacja projektu bazuje lub służy zachowaniu jednego ze wskazanych potencjałów, tj. kulturalnego, historycznego oraz przyrodniczego</w:t>
            </w:r>
          </w:p>
        </w:tc>
        <w:tc>
          <w:tcPr>
            <w:tcW w:w="850" w:type="dxa"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Merge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62" w:rsidRPr="000D0662" w:rsidTr="004C073E">
        <w:trPr>
          <w:trHeight w:val="567"/>
        </w:trPr>
        <w:tc>
          <w:tcPr>
            <w:tcW w:w="1555" w:type="dxa"/>
            <w:vMerge/>
            <w:vAlign w:val="center"/>
          </w:tcPr>
          <w:p w:rsidR="000D0662" w:rsidRPr="004229A8" w:rsidRDefault="000D0662" w:rsidP="002C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Realizacja projektu nie służy zachowaniu potencjału</w:t>
            </w:r>
          </w:p>
        </w:tc>
        <w:tc>
          <w:tcPr>
            <w:tcW w:w="850" w:type="dxa"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vMerge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62" w:rsidRPr="000D0662" w:rsidTr="004C073E">
        <w:trPr>
          <w:trHeight w:val="675"/>
        </w:trPr>
        <w:tc>
          <w:tcPr>
            <w:tcW w:w="1555" w:type="dxa"/>
            <w:vMerge w:val="restart"/>
            <w:vAlign w:val="center"/>
          </w:tcPr>
          <w:p w:rsidR="000D0662" w:rsidRPr="004229A8" w:rsidRDefault="000D0662" w:rsidP="002C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A8">
              <w:rPr>
                <w:rFonts w:ascii="Times New Roman" w:hAnsi="Times New Roman" w:cs="Times New Roman"/>
                <w:b/>
                <w:sz w:val="20"/>
                <w:szCs w:val="20"/>
              </w:rPr>
              <w:t>Promocja obszaru</w:t>
            </w:r>
          </w:p>
        </w:tc>
        <w:tc>
          <w:tcPr>
            <w:tcW w:w="4677" w:type="dxa"/>
            <w:vMerge w:val="restart"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Preferuje operacje, które mają wpływ na promocje obszaru LGD, tj. mają zaplanowane narzędzia promocyjne w ramach działań i są one uwzględnione w zestawieniu rzeczowo-finansowym</w:t>
            </w:r>
          </w:p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Projekt ma zaplanowane narzędzia promocji ujęte w budżecie lub zadaniach (np. ulotka, strona internetowa), projekt przyczynia się do promocji obszaru</w:t>
            </w:r>
          </w:p>
        </w:tc>
        <w:tc>
          <w:tcPr>
            <w:tcW w:w="850" w:type="dxa"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D0662" w:rsidRPr="000D0662" w:rsidTr="004C073E">
        <w:trPr>
          <w:trHeight w:val="567"/>
        </w:trPr>
        <w:tc>
          <w:tcPr>
            <w:tcW w:w="1555" w:type="dxa"/>
            <w:vMerge/>
            <w:vAlign w:val="center"/>
          </w:tcPr>
          <w:p w:rsidR="000D0662" w:rsidRPr="004229A8" w:rsidRDefault="000D0662" w:rsidP="002C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Projekt nie ma zaplanowanych narzędzi promocyjnych</w:t>
            </w:r>
          </w:p>
        </w:tc>
        <w:tc>
          <w:tcPr>
            <w:tcW w:w="850" w:type="dxa"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vMerge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62" w:rsidRPr="000D0662" w:rsidTr="004C073E">
        <w:trPr>
          <w:trHeight w:val="567"/>
        </w:trPr>
        <w:tc>
          <w:tcPr>
            <w:tcW w:w="1555" w:type="dxa"/>
            <w:vMerge w:val="restart"/>
            <w:vAlign w:val="center"/>
          </w:tcPr>
          <w:p w:rsidR="000D0662" w:rsidRPr="004229A8" w:rsidRDefault="000D0662" w:rsidP="002C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A8">
              <w:rPr>
                <w:rFonts w:ascii="Times New Roman" w:hAnsi="Times New Roman" w:cs="Times New Roman"/>
                <w:b/>
                <w:sz w:val="20"/>
                <w:szCs w:val="20"/>
              </w:rPr>
              <w:t>Powiązanie z ofertą turystyczną obszaru</w:t>
            </w:r>
          </w:p>
        </w:tc>
        <w:tc>
          <w:tcPr>
            <w:tcW w:w="4677" w:type="dxa"/>
            <w:vMerge w:val="restart"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Preferuje operacje, które udowodnią, że rozwijana przez nie oferta usług i infrastruktury turystycznej, rekreacyjnej i okołoturystycznej będzie związana z  istniejącą na obszarze ofertą turystyczną</w:t>
            </w:r>
          </w:p>
        </w:tc>
        <w:tc>
          <w:tcPr>
            <w:tcW w:w="4395" w:type="dxa"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Operacja włączy się w istniejącą na obszarze ofertę turystyczną</w:t>
            </w:r>
          </w:p>
        </w:tc>
        <w:tc>
          <w:tcPr>
            <w:tcW w:w="850" w:type="dxa"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D0662" w:rsidRPr="000D0662" w:rsidTr="004C073E">
        <w:trPr>
          <w:trHeight w:val="567"/>
        </w:trPr>
        <w:tc>
          <w:tcPr>
            <w:tcW w:w="1555" w:type="dxa"/>
            <w:vMerge/>
            <w:vAlign w:val="center"/>
          </w:tcPr>
          <w:p w:rsidR="000D0662" w:rsidRPr="004229A8" w:rsidRDefault="000D0662" w:rsidP="002C6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D0662" w:rsidRPr="000D0662" w:rsidRDefault="000D0662" w:rsidP="002C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Operacja nie włączy się w istniejącą na obszarze ofertę turystyczną</w:t>
            </w:r>
          </w:p>
        </w:tc>
        <w:tc>
          <w:tcPr>
            <w:tcW w:w="850" w:type="dxa"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vMerge/>
            <w:vAlign w:val="center"/>
          </w:tcPr>
          <w:p w:rsidR="000D0662" w:rsidRPr="000D0662" w:rsidRDefault="000D0662" w:rsidP="004C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62" w:rsidRPr="000D0662" w:rsidTr="004C073E">
        <w:tc>
          <w:tcPr>
            <w:tcW w:w="14029" w:type="dxa"/>
            <w:gridSpan w:val="5"/>
            <w:vAlign w:val="center"/>
          </w:tcPr>
          <w:p w:rsidR="000D0662" w:rsidRPr="004229A8" w:rsidRDefault="000D0662" w:rsidP="004C0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A8">
              <w:rPr>
                <w:rFonts w:ascii="Times New Roman" w:hAnsi="Times New Roman" w:cs="Times New Roman"/>
                <w:b/>
                <w:sz w:val="20"/>
                <w:szCs w:val="20"/>
              </w:rPr>
              <w:t>Maksymalna liczba punktów</w:t>
            </w:r>
            <w:r w:rsidR="00477B20" w:rsidRPr="004229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29A8">
              <w:rPr>
                <w:rFonts w:ascii="Times New Roman" w:hAnsi="Times New Roman" w:cs="Times New Roman"/>
                <w:b/>
                <w:sz w:val="20"/>
                <w:szCs w:val="20"/>
              </w:rPr>
              <w:t>dla projektów realizowanych przez jednostki sektora finansów publicznych,</w:t>
            </w:r>
          </w:p>
          <w:p w:rsidR="000D0662" w:rsidRPr="004229A8" w:rsidRDefault="000D0662" w:rsidP="004C0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A8">
              <w:rPr>
                <w:rFonts w:ascii="Times New Roman" w:hAnsi="Times New Roman" w:cs="Times New Roman"/>
                <w:b/>
                <w:sz w:val="20"/>
                <w:szCs w:val="20"/>
              </w:rPr>
              <w:t>w tym związane z rozwojem niekomercyjnej infrastruktury: 11 pkt.</w:t>
            </w:r>
          </w:p>
          <w:p w:rsidR="000D0662" w:rsidRPr="004229A8" w:rsidRDefault="000D0662" w:rsidP="004C0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A8">
              <w:rPr>
                <w:rFonts w:ascii="Times New Roman" w:hAnsi="Times New Roman" w:cs="Times New Roman"/>
                <w:b/>
                <w:sz w:val="20"/>
                <w:szCs w:val="20"/>
              </w:rPr>
              <w:t>Minimalna liczba punktów (koni</w:t>
            </w:r>
            <w:r w:rsidR="00AC27C5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4229A8">
              <w:rPr>
                <w:rFonts w:ascii="Times New Roman" w:hAnsi="Times New Roman" w:cs="Times New Roman"/>
                <w:b/>
                <w:sz w:val="20"/>
                <w:szCs w:val="20"/>
              </w:rPr>
              <w:t>czna do osiągnięcia, aby operacja znalazła się na liście rankingowej): 4 pkt.</w:t>
            </w:r>
          </w:p>
        </w:tc>
      </w:tr>
      <w:tr w:rsidR="000D0662" w:rsidRPr="000D0662" w:rsidTr="004C073E">
        <w:tc>
          <w:tcPr>
            <w:tcW w:w="14029" w:type="dxa"/>
            <w:gridSpan w:val="5"/>
            <w:vAlign w:val="center"/>
          </w:tcPr>
          <w:p w:rsidR="000D0662" w:rsidRPr="004229A8" w:rsidRDefault="000D0662" w:rsidP="004C0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A8">
              <w:rPr>
                <w:rFonts w:ascii="Times New Roman" w:hAnsi="Times New Roman" w:cs="Times New Roman"/>
                <w:b/>
                <w:sz w:val="20"/>
                <w:szCs w:val="20"/>
              </w:rPr>
              <w:t>Maksymalna liczba punktów</w:t>
            </w:r>
            <w:r w:rsidR="00477B20" w:rsidRPr="004229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29A8">
              <w:rPr>
                <w:rFonts w:ascii="Times New Roman" w:hAnsi="Times New Roman" w:cs="Times New Roman"/>
                <w:b/>
                <w:sz w:val="20"/>
                <w:szCs w:val="20"/>
              </w:rPr>
              <w:t>dla projektów realizowanych przez podmioty spoza sektora finansów publicznych,</w:t>
            </w:r>
          </w:p>
          <w:p w:rsidR="000D0662" w:rsidRPr="004229A8" w:rsidRDefault="000D0662" w:rsidP="004C0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A8">
              <w:rPr>
                <w:rFonts w:ascii="Times New Roman" w:hAnsi="Times New Roman" w:cs="Times New Roman"/>
                <w:b/>
                <w:sz w:val="20"/>
                <w:szCs w:val="20"/>
              </w:rPr>
              <w:t>w tym związane z rozwojem niekomercyjnej infrastruktury: 11 pkt.</w:t>
            </w:r>
          </w:p>
          <w:p w:rsidR="000D0662" w:rsidRPr="004229A8" w:rsidRDefault="000D0662" w:rsidP="00453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A8">
              <w:rPr>
                <w:rFonts w:ascii="Times New Roman" w:hAnsi="Times New Roman" w:cs="Times New Roman"/>
                <w:b/>
                <w:sz w:val="20"/>
                <w:szCs w:val="20"/>
              </w:rPr>
              <w:t>Minimalna liczba punktów (koni</w:t>
            </w:r>
            <w:r w:rsidR="00A11968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4229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czna do osiągnięcia, aby operacja znalazła się na liście rankingowej): </w:t>
            </w:r>
            <w:r w:rsidR="004536B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229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pkt.</w:t>
            </w:r>
          </w:p>
        </w:tc>
      </w:tr>
    </w:tbl>
    <w:p w:rsidR="00FD1B77" w:rsidRPr="00CD628A" w:rsidRDefault="00FD1B77" w:rsidP="002E6F51">
      <w:pPr>
        <w:rPr>
          <w:rFonts w:ascii="Times New Roman" w:hAnsi="Times New Roman" w:cs="Times New Roman"/>
        </w:rPr>
      </w:pPr>
    </w:p>
    <w:sectPr w:rsidR="00FD1B77" w:rsidRPr="00CD628A" w:rsidSect="00EB60E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5F4" w:rsidRDefault="001D35F4" w:rsidP="007D7314">
      <w:pPr>
        <w:spacing w:after="0" w:line="240" w:lineRule="auto"/>
      </w:pPr>
      <w:r>
        <w:separator/>
      </w:r>
    </w:p>
  </w:endnote>
  <w:endnote w:type="continuationSeparator" w:id="1">
    <w:p w:rsidR="001D35F4" w:rsidRDefault="001D35F4" w:rsidP="007D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6637596"/>
      <w:docPartObj>
        <w:docPartGallery w:val="Page Numbers (Bottom of Page)"/>
        <w:docPartUnique/>
      </w:docPartObj>
    </w:sdtPr>
    <w:sdtContent>
      <w:p w:rsidR="00C33529" w:rsidRDefault="008F1F4E">
        <w:pPr>
          <w:pStyle w:val="Stopka"/>
          <w:jc w:val="right"/>
        </w:pPr>
        <w:r>
          <w:fldChar w:fldCharType="begin"/>
        </w:r>
        <w:r w:rsidR="00C33529">
          <w:instrText>PAGE   \* MERGEFORMAT</w:instrText>
        </w:r>
        <w:r>
          <w:fldChar w:fldCharType="separate"/>
        </w:r>
        <w:r w:rsidR="00A11968">
          <w:rPr>
            <w:noProof/>
          </w:rPr>
          <w:t>2</w:t>
        </w:r>
        <w:r>
          <w:fldChar w:fldCharType="end"/>
        </w:r>
      </w:p>
    </w:sdtContent>
  </w:sdt>
  <w:p w:rsidR="007D7314" w:rsidRDefault="007D73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5F4" w:rsidRDefault="001D35F4" w:rsidP="007D7314">
      <w:pPr>
        <w:spacing w:after="0" w:line="240" w:lineRule="auto"/>
      </w:pPr>
      <w:r>
        <w:separator/>
      </w:r>
    </w:p>
  </w:footnote>
  <w:footnote w:type="continuationSeparator" w:id="1">
    <w:p w:rsidR="001D35F4" w:rsidRDefault="001D35F4" w:rsidP="007D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14" w:rsidRPr="006221DB" w:rsidRDefault="00CF6C6C" w:rsidP="006221DB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4 do ogłoszenia nr 3</w:t>
    </w:r>
    <w:r w:rsidR="006221DB" w:rsidRPr="006221DB">
      <w:rPr>
        <w:rFonts w:ascii="Times New Roman" w:hAnsi="Times New Roman" w:cs="Times New Roman"/>
        <w:b/>
        <w:sz w:val="20"/>
        <w:szCs w:val="20"/>
      </w:rPr>
      <w:t>/2017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055F5"/>
    <w:rsid w:val="0003613E"/>
    <w:rsid w:val="000453D7"/>
    <w:rsid w:val="000575AC"/>
    <w:rsid w:val="0006307D"/>
    <w:rsid w:val="000665B4"/>
    <w:rsid w:val="0007167F"/>
    <w:rsid w:val="00076139"/>
    <w:rsid w:val="000943AC"/>
    <w:rsid w:val="000D0662"/>
    <w:rsid w:val="00115E19"/>
    <w:rsid w:val="0014699C"/>
    <w:rsid w:val="001731CA"/>
    <w:rsid w:val="001D35F4"/>
    <w:rsid w:val="00217237"/>
    <w:rsid w:val="002561FC"/>
    <w:rsid w:val="002C6A0E"/>
    <w:rsid w:val="002E6F51"/>
    <w:rsid w:val="0036000A"/>
    <w:rsid w:val="00362D5E"/>
    <w:rsid w:val="004229A8"/>
    <w:rsid w:val="004536BB"/>
    <w:rsid w:val="00477B20"/>
    <w:rsid w:val="00495B69"/>
    <w:rsid w:val="004B1AF6"/>
    <w:rsid w:val="004C073E"/>
    <w:rsid w:val="004C149E"/>
    <w:rsid w:val="004C1741"/>
    <w:rsid w:val="005C5E1A"/>
    <w:rsid w:val="005D49FF"/>
    <w:rsid w:val="006221DB"/>
    <w:rsid w:val="00625786"/>
    <w:rsid w:val="006632E6"/>
    <w:rsid w:val="00676411"/>
    <w:rsid w:val="00726F3C"/>
    <w:rsid w:val="007A7468"/>
    <w:rsid w:val="007D7314"/>
    <w:rsid w:val="00811596"/>
    <w:rsid w:val="0081582C"/>
    <w:rsid w:val="0084254F"/>
    <w:rsid w:val="00851AA3"/>
    <w:rsid w:val="008B52BD"/>
    <w:rsid w:val="008F1F4E"/>
    <w:rsid w:val="009055F5"/>
    <w:rsid w:val="009442AF"/>
    <w:rsid w:val="00975125"/>
    <w:rsid w:val="00A036AE"/>
    <w:rsid w:val="00A11968"/>
    <w:rsid w:val="00A34072"/>
    <w:rsid w:val="00AC27C5"/>
    <w:rsid w:val="00B21763"/>
    <w:rsid w:val="00B223AD"/>
    <w:rsid w:val="00BA0294"/>
    <w:rsid w:val="00BF26BA"/>
    <w:rsid w:val="00C33529"/>
    <w:rsid w:val="00C415E7"/>
    <w:rsid w:val="00C63DFF"/>
    <w:rsid w:val="00CB295A"/>
    <w:rsid w:val="00CD628A"/>
    <w:rsid w:val="00CE3DF9"/>
    <w:rsid w:val="00CF6C6C"/>
    <w:rsid w:val="00D06827"/>
    <w:rsid w:val="00D91B91"/>
    <w:rsid w:val="00DC5476"/>
    <w:rsid w:val="00DD6E39"/>
    <w:rsid w:val="00E5664B"/>
    <w:rsid w:val="00EB60E4"/>
    <w:rsid w:val="00ED4874"/>
    <w:rsid w:val="00FD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1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45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3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3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3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3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7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314"/>
  </w:style>
  <w:style w:type="paragraph" w:styleId="Stopka">
    <w:name w:val="footer"/>
    <w:basedOn w:val="Normalny"/>
    <w:link w:val="StopkaZnak"/>
    <w:uiPriority w:val="99"/>
    <w:unhideWhenUsed/>
    <w:rsid w:val="007D7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 Widawa</dc:creator>
  <cp:keywords/>
  <dc:description/>
  <cp:lastModifiedBy>PC2-Asus</cp:lastModifiedBy>
  <cp:revision>17</cp:revision>
  <dcterms:created xsi:type="dcterms:W3CDTF">2016-10-06T08:21:00Z</dcterms:created>
  <dcterms:modified xsi:type="dcterms:W3CDTF">2017-01-03T11:18:00Z</dcterms:modified>
</cp:coreProperties>
</file>